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115504" w14:textId="72E8446A" w:rsidR="00394B82" w:rsidRPr="00716735" w:rsidRDefault="00C418BA" w:rsidP="00E80725">
      <w:pPr>
        <w:jc w:val="both"/>
        <w:rPr>
          <w:rFonts w:ascii="Source Sans Pro" w:hAnsi="Source Sans Pro" w:cs="Tahoma"/>
          <w:b/>
          <w:color w:val="13284B"/>
          <w:sz w:val="22"/>
          <w:szCs w:val="22"/>
          <w:u w:val="single"/>
          <w14:textOutline w14:w="9525" w14:cap="rnd" w14:cmpd="sng" w14:algn="ctr">
            <w14:solidFill>
              <w14:schemeClr w14:val="accent1"/>
            </w14:solidFill>
            <w14:prstDash w14:val="solid"/>
            <w14:bevel/>
          </w14:textOutline>
        </w:rPr>
      </w:pPr>
      <w:r w:rsidRPr="00716735">
        <w:rPr>
          <w:rFonts w:ascii="Source Sans Pro" w:hAnsi="Source Sans Pro" w:cs="Tahoma"/>
          <w:noProof/>
          <w:sz w:val="22"/>
          <w:szCs w:val="22"/>
          <w14:textOutline w14:w="9525" w14:cap="rnd" w14:cmpd="sng" w14:algn="ctr">
            <w14:solidFill>
              <w14:schemeClr w14:val="accent1"/>
            </w14:solidFill>
            <w14:prstDash w14:val="solid"/>
            <w14:bevel/>
          </w14:textOutline>
        </w:rPr>
        <mc:AlternateContent>
          <mc:Choice Requires="wps">
            <w:drawing>
              <wp:anchor distT="45720" distB="45720" distL="114300" distR="114300" simplePos="0" relativeHeight="251660292" behindDoc="0" locked="0" layoutInCell="1" allowOverlap="1" wp14:anchorId="0760DE6D" wp14:editId="18FA1992">
                <wp:simplePos x="0" y="0"/>
                <wp:positionH relativeFrom="column">
                  <wp:posOffset>3495675</wp:posOffset>
                </wp:positionH>
                <wp:positionV relativeFrom="paragraph">
                  <wp:posOffset>6985</wp:posOffset>
                </wp:positionV>
                <wp:extent cx="3086100" cy="7315200"/>
                <wp:effectExtent l="0" t="0" r="19050" b="19050"/>
                <wp:wrapSquare wrapText="bothSides"/>
                <wp:docPr id="1011083484" name="Text Box 1011083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7315200"/>
                        </a:xfrm>
                        <a:prstGeom prst="rect">
                          <a:avLst/>
                        </a:prstGeom>
                        <a:solidFill>
                          <a:srgbClr val="E7AD22"/>
                        </a:solidFill>
                        <a:ln w="9525">
                          <a:solidFill>
                            <a:srgbClr val="000000"/>
                          </a:solidFill>
                          <a:miter lim="800000"/>
                          <a:headEnd/>
                          <a:tailEnd/>
                        </a:ln>
                      </wps:spPr>
                      <wps:txbx>
                        <w:txbxContent>
                          <w:p w14:paraId="0619B5CF" w14:textId="77777777" w:rsidR="00C418BA" w:rsidRPr="004D51AF" w:rsidRDefault="00C418BA" w:rsidP="00C418BA">
                            <w:pPr>
                              <w:ind w:left="180" w:right="315" w:firstLine="360"/>
                              <w:jc w:val="center"/>
                              <w:rPr>
                                <w:rFonts w:ascii="Tahoma" w:eastAsiaTheme="majorEastAsia" w:hAnsi="Tahoma" w:cs="Tahoma"/>
                                <w:b/>
                                <w:caps/>
                                <w:color w:val="F99F1B"/>
                                <w:sz w:val="22"/>
                                <w:szCs w:val="22"/>
                              </w:rPr>
                            </w:pPr>
                          </w:p>
                          <w:p w14:paraId="236073E8" w14:textId="77777777" w:rsidR="00C418BA" w:rsidRPr="00FF726F" w:rsidRDefault="00C418BA" w:rsidP="00C418BA">
                            <w:pPr>
                              <w:ind w:left="180" w:right="315"/>
                              <w:jc w:val="center"/>
                              <w:rPr>
                                <w:rFonts w:ascii="AvenirNext LT Pro Regular" w:eastAsiaTheme="majorEastAsia" w:hAnsi="AvenirNext LT Pro Regular" w:cs="Tahoma"/>
                                <w:bCs/>
                                <w:caps/>
                                <w:color w:val="3B3B3B"/>
                                <w:sz w:val="32"/>
                                <w:szCs w:val="32"/>
                              </w:rPr>
                            </w:pPr>
                            <w:r w:rsidRPr="00FF726F">
                              <w:rPr>
                                <w:rFonts w:ascii="AvenirNext LT Pro Regular" w:eastAsiaTheme="majorEastAsia" w:hAnsi="AvenirNext LT Pro Regular" w:cs="Tahoma"/>
                                <w:bCs/>
                                <w:caps/>
                                <w:color w:val="3B3B3B"/>
                                <w:sz w:val="32"/>
                                <w:szCs w:val="32"/>
                              </w:rPr>
                              <w:t xml:space="preserve">Keeping a </w:t>
                            </w:r>
                          </w:p>
                          <w:p w14:paraId="464B5D7A" w14:textId="77777777" w:rsidR="00C418BA" w:rsidRPr="00FF726F" w:rsidRDefault="00C418BA" w:rsidP="00C418BA">
                            <w:pPr>
                              <w:ind w:left="180" w:right="315"/>
                              <w:jc w:val="center"/>
                              <w:rPr>
                                <w:rFonts w:ascii="AvenirNext LT Pro Regular" w:eastAsiaTheme="majorEastAsia" w:hAnsi="AvenirNext LT Pro Regular" w:cs="Tahoma"/>
                                <w:bCs/>
                                <w:caps/>
                                <w:color w:val="3B3B3B"/>
                                <w:sz w:val="32"/>
                                <w:szCs w:val="32"/>
                              </w:rPr>
                            </w:pPr>
                            <w:r w:rsidRPr="00FF726F">
                              <w:rPr>
                                <w:rFonts w:ascii="AvenirNext LT Pro Regular" w:eastAsiaTheme="majorEastAsia" w:hAnsi="AvenirNext LT Pro Regular" w:cs="Tahoma"/>
                                <w:bCs/>
                                <w:caps/>
                                <w:color w:val="3B3B3B"/>
                                <w:sz w:val="32"/>
                                <w:szCs w:val="32"/>
                              </w:rPr>
                              <w:t>balanced approach</w:t>
                            </w:r>
                          </w:p>
                          <w:p w14:paraId="544DF520" w14:textId="77777777" w:rsidR="00C418BA" w:rsidRPr="00FE3001" w:rsidRDefault="00C418BA" w:rsidP="00C418BA">
                            <w:pPr>
                              <w:ind w:left="180" w:right="315" w:firstLine="360"/>
                              <w:jc w:val="center"/>
                              <w:rPr>
                                <w:rFonts w:ascii="Tahoma" w:eastAsiaTheme="majorEastAsia" w:hAnsi="Tahoma" w:cs="Tahoma"/>
                                <w:b/>
                                <w:caps/>
                                <w:color w:val="3B3B3B"/>
                                <w:sz w:val="22"/>
                                <w:szCs w:val="22"/>
                              </w:rPr>
                            </w:pPr>
                            <w:r w:rsidRPr="00FE3001">
                              <w:rPr>
                                <w:rFonts w:ascii="Tahoma" w:eastAsiaTheme="majorEastAsia" w:hAnsi="Tahoma" w:cs="Tahoma"/>
                                <w:b/>
                                <w:caps/>
                                <w:color w:val="3B3B3B"/>
                                <w:sz w:val="22"/>
                                <w:szCs w:val="22"/>
                              </w:rPr>
                              <w:t>__________________</w:t>
                            </w:r>
                          </w:p>
                          <w:p w14:paraId="4DC1A45E" w14:textId="77777777" w:rsidR="00C418BA" w:rsidRPr="004D51AF" w:rsidRDefault="00C418BA" w:rsidP="00C418BA">
                            <w:pPr>
                              <w:ind w:left="540" w:right="315"/>
                              <w:jc w:val="center"/>
                              <w:rPr>
                                <w:rFonts w:ascii="Tahoma" w:eastAsiaTheme="majorEastAsia" w:hAnsi="Tahoma" w:cs="Tahoma"/>
                                <w:b/>
                                <w:caps/>
                                <w:color w:val="F99F1B"/>
                                <w:sz w:val="22"/>
                                <w:szCs w:val="22"/>
                              </w:rPr>
                            </w:pPr>
                          </w:p>
                          <w:p w14:paraId="18CB7887" w14:textId="77777777" w:rsidR="00C418BA" w:rsidRPr="003F4971" w:rsidRDefault="00C418BA" w:rsidP="00C418BA">
                            <w:pPr>
                              <w:ind w:left="540" w:right="315"/>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Summary:</w:t>
                            </w:r>
                          </w:p>
                          <w:p w14:paraId="50DB865E" w14:textId="77777777" w:rsidR="00C418BA" w:rsidRPr="003F4971" w:rsidRDefault="00C418BA" w:rsidP="00C418BA">
                            <w:pPr>
                              <w:pStyle w:val="ListParagraph"/>
                              <w:numPr>
                                <w:ilvl w:val="0"/>
                                <w:numId w:val="6"/>
                              </w:numPr>
                              <w:spacing w:line="0" w:lineRule="atLeast"/>
                              <w:ind w:right="317"/>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Global markets and the U.S. economy remained resilient through uncertainty.</w:t>
                            </w:r>
                          </w:p>
                          <w:p w14:paraId="10BEAE40" w14:textId="77777777" w:rsidR="00C418BA" w:rsidRPr="003F4971" w:rsidRDefault="00C418BA" w:rsidP="00C418BA">
                            <w:pPr>
                              <w:pStyle w:val="ListParagraph"/>
                              <w:numPr>
                                <w:ilvl w:val="0"/>
                                <w:numId w:val="6"/>
                              </w:numPr>
                              <w:spacing w:line="0" w:lineRule="atLeast"/>
                              <w:ind w:right="317"/>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Dollar strength during Q3 muted international returns but has been a</w:t>
                            </w:r>
                            <w:r>
                              <w:rPr>
                                <w:rFonts w:ascii="AvenirNext LT Pro Regular" w:hAnsi="AvenirNext LT Pro Regular" w:cs="Tahoma"/>
                                <w:b/>
                                <w:color w:val="3B3B3B"/>
                                <w:sz w:val="22"/>
                                <w:szCs w:val="22"/>
                              </w:rPr>
                              <w:t>n overall</w:t>
                            </w:r>
                            <w:r w:rsidRPr="003F4971">
                              <w:rPr>
                                <w:rFonts w:ascii="AvenirNext LT Pro Regular" w:hAnsi="AvenirNext LT Pro Regular" w:cs="Tahoma"/>
                                <w:b/>
                                <w:color w:val="3B3B3B"/>
                                <w:sz w:val="22"/>
                                <w:szCs w:val="22"/>
                              </w:rPr>
                              <w:t xml:space="preserve"> tailwind this year.</w:t>
                            </w:r>
                          </w:p>
                          <w:p w14:paraId="7E2F8884" w14:textId="77777777" w:rsidR="00C418BA" w:rsidRPr="003F4971" w:rsidRDefault="00C418BA" w:rsidP="00C418BA">
                            <w:pPr>
                              <w:pStyle w:val="ListParagraph"/>
                              <w:numPr>
                                <w:ilvl w:val="0"/>
                                <w:numId w:val="6"/>
                              </w:numPr>
                              <w:spacing w:line="0" w:lineRule="atLeast"/>
                              <w:ind w:right="317"/>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 xml:space="preserve">Fed policy begins to ease </w:t>
                            </w:r>
                            <w:proofErr w:type="gramStart"/>
                            <w:r>
                              <w:rPr>
                                <w:rFonts w:ascii="AvenirNext LT Pro Regular" w:hAnsi="AvenirNext LT Pro Regular" w:cs="Tahoma"/>
                                <w:b/>
                                <w:color w:val="3B3B3B"/>
                                <w:sz w:val="22"/>
                                <w:szCs w:val="22"/>
                              </w:rPr>
                              <w:t>in order to</w:t>
                            </w:r>
                            <w:proofErr w:type="gramEnd"/>
                            <w:r>
                              <w:rPr>
                                <w:rFonts w:ascii="AvenirNext LT Pro Regular" w:hAnsi="AvenirNext LT Pro Regular" w:cs="Tahoma"/>
                                <w:b/>
                                <w:color w:val="3B3B3B"/>
                                <w:sz w:val="22"/>
                                <w:szCs w:val="22"/>
                              </w:rPr>
                              <w:t xml:space="preserve"> support labor markets</w:t>
                            </w:r>
                          </w:p>
                          <w:p w14:paraId="009523CC" w14:textId="77777777" w:rsidR="00C418BA" w:rsidRDefault="00C418BA" w:rsidP="00C418BA">
                            <w:pPr>
                              <w:pStyle w:val="ListParagraph"/>
                              <w:spacing w:line="0" w:lineRule="atLeast"/>
                              <w:ind w:left="540" w:right="315"/>
                              <w:rPr>
                                <w:rFonts w:ascii="AvenirNext LT Pro Regular" w:hAnsi="AvenirNext LT Pro Regular" w:cs="Tahoma"/>
                                <w:b/>
                                <w:color w:val="3B3B3B"/>
                                <w:sz w:val="22"/>
                                <w:szCs w:val="22"/>
                              </w:rPr>
                            </w:pPr>
                          </w:p>
                          <w:p w14:paraId="748AF5B0" w14:textId="77777777" w:rsidR="00C418BA" w:rsidRPr="00105E4C" w:rsidRDefault="00C418BA" w:rsidP="00C418BA">
                            <w:pPr>
                              <w:pStyle w:val="ListParagraph"/>
                              <w:spacing w:line="0" w:lineRule="atLeast"/>
                              <w:ind w:left="540" w:right="315"/>
                              <w:rPr>
                                <w:rFonts w:ascii="AvenirNext LT Pro Regular" w:hAnsi="AvenirNext LT Pro Regular" w:cs="Tahoma"/>
                                <w:b/>
                                <w:color w:val="3B3B3B"/>
                                <w:sz w:val="22"/>
                                <w:szCs w:val="22"/>
                              </w:rPr>
                            </w:pPr>
                          </w:p>
                          <w:p w14:paraId="12006411" w14:textId="77777777" w:rsidR="00C418BA" w:rsidRPr="00016C01" w:rsidRDefault="00C418BA" w:rsidP="00C418BA">
                            <w:pPr>
                              <w:ind w:left="540"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Glass half-full</w:t>
                            </w:r>
                            <w:r w:rsidRPr="00016C01">
                              <w:rPr>
                                <w:rFonts w:ascii="AvenirNext LT Pro Regular" w:hAnsi="AvenirNext LT Pro Regular" w:cs="Tahoma"/>
                                <w:b/>
                                <w:color w:val="3B3B3B"/>
                                <w:sz w:val="22"/>
                                <w:szCs w:val="22"/>
                              </w:rPr>
                              <w:t>:</w:t>
                            </w:r>
                          </w:p>
                          <w:p w14:paraId="340B9A3F" w14:textId="77777777" w:rsidR="00C418BA"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Global stock markets continued their upward climb in Q3.</w:t>
                            </w:r>
                          </w:p>
                          <w:p w14:paraId="3C2933F6" w14:textId="77777777" w:rsidR="00C418BA"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Near-term recession risks continue to fade.</w:t>
                            </w:r>
                          </w:p>
                          <w:p w14:paraId="13BB2C60" w14:textId="77777777" w:rsidR="00C418BA"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U.S. GDP for Q2 was 3.8% and is expected to show similar growth in Q3.</w:t>
                            </w:r>
                          </w:p>
                          <w:p w14:paraId="0EA227B5" w14:textId="77777777" w:rsidR="00C418BA" w:rsidRPr="000C6C43"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The Fed lowered interest rates for the first time in 2025.</w:t>
                            </w:r>
                          </w:p>
                          <w:p w14:paraId="7DDA1381" w14:textId="77777777" w:rsidR="00C418BA" w:rsidRPr="00FE06A7" w:rsidRDefault="00C418BA" w:rsidP="00C418BA">
                            <w:pPr>
                              <w:pStyle w:val="ListParagraph"/>
                              <w:ind w:left="540" w:right="315"/>
                              <w:rPr>
                                <w:rFonts w:ascii="AvenirNext LT Pro Regular" w:hAnsi="AvenirNext LT Pro Regular" w:cs="Tahoma"/>
                                <w:b/>
                                <w:color w:val="3B3B3B"/>
                                <w:sz w:val="22"/>
                                <w:szCs w:val="22"/>
                              </w:rPr>
                            </w:pPr>
                          </w:p>
                          <w:p w14:paraId="322B4A61" w14:textId="77777777" w:rsidR="00C418BA" w:rsidRPr="00016C01" w:rsidRDefault="00C418BA" w:rsidP="00C418BA">
                            <w:pPr>
                              <w:ind w:left="180" w:right="317" w:firstLine="360"/>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Glass half-empty</w:t>
                            </w:r>
                            <w:r w:rsidRPr="00016C01">
                              <w:rPr>
                                <w:rFonts w:ascii="AvenirNext LT Pro Regular" w:hAnsi="AvenirNext LT Pro Regular" w:cs="Tahoma"/>
                                <w:b/>
                                <w:color w:val="3B3B3B"/>
                                <w:sz w:val="22"/>
                                <w:szCs w:val="22"/>
                              </w:rPr>
                              <w:t>:</w:t>
                            </w:r>
                          </w:p>
                          <w:p w14:paraId="41D1314C" w14:textId="77777777" w:rsidR="00C418BA" w:rsidRPr="00EB703C"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Labor markets show signs of softening.</w:t>
                            </w:r>
                          </w:p>
                          <w:p w14:paraId="115D0415" w14:textId="77777777" w:rsidR="00C418BA" w:rsidRPr="00EB703C"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Fed’s preferred inflation measure, Core PCE, continues to be stubborn at 2.9%, higher than the preferred level of 2%.</w:t>
                            </w:r>
                            <w:r w:rsidRPr="00EB703C">
                              <w:rPr>
                                <w:rFonts w:ascii="AvenirNext LT Pro Regular" w:hAnsi="AvenirNext LT Pro Regular" w:cs="Tahoma"/>
                                <w:b/>
                                <w:color w:val="3B3B3B"/>
                                <w:sz w:val="22"/>
                                <w:szCs w:val="22"/>
                              </w:rPr>
                              <w:t xml:space="preserve">  </w:t>
                            </w:r>
                          </w:p>
                          <w:p w14:paraId="38725A71" w14:textId="77777777" w:rsidR="00C418BA"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AI-related spending is robust, but future revenue streams are not clear.</w:t>
                            </w:r>
                          </w:p>
                          <w:p w14:paraId="16047F77" w14:textId="77777777" w:rsidR="00C418BA" w:rsidRPr="00052896"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Q3 ended with a shutdown of the U.S. Federal Government.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0DE6D" id="_x0000_t202" coordsize="21600,21600" o:spt="202" path="m,l,21600r21600,l21600,xe">
                <v:stroke joinstyle="miter"/>
                <v:path gradientshapeok="t" o:connecttype="rect"/>
              </v:shapetype>
              <v:shape id="Text Box 1011083484" o:spid="_x0000_s1026" type="#_x0000_t202" style="position:absolute;left:0;text-align:left;margin-left:275.25pt;margin-top:.55pt;width:243pt;height:8in;z-index:2516602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" fillcolor="#e7ad22">
                <v:textbox>
                  <w:txbxContent>
                    <w:p w14:paraId="0619B5CF" w14:textId="77777777" w:rsidR="00C418BA" w:rsidRPr="004D51AF" w:rsidRDefault="00C418BA" w:rsidP="00C418BA">
                      <w:pPr>
                        <w:ind w:left="180" w:right="315" w:firstLine="360"/>
                        <w:jc w:val="center"/>
                        <w:rPr>
                          <w:rFonts w:ascii="Tahoma" w:eastAsiaTheme="majorEastAsia" w:hAnsi="Tahoma" w:cs="Tahoma"/>
                          <w:b/>
                          <w:caps/>
                          <w:color w:val="F99F1B"/>
                          <w:sz w:val="22"/>
                          <w:szCs w:val="22"/>
                        </w:rPr>
                      </w:pPr>
                    </w:p>
                    <w:p w14:paraId="236073E8" w14:textId="77777777" w:rsidR="00C418BA" w:rsidRPr="00FF726F" w:rsidRDefault="00C418BA" w:rsidP="00C418BA">
                      <w:pPr>
                        <w:ind w:left="180" w:right="315"/>
                        <w:jc w:val="center"/>
                        <w:rPr>
                          <w:rFonts w:ascii="AvenirNext LT Pro Regular" w:eastAsiaTheme="majorEastAsia" w:hAnsi="AvenirNext LT Pro Regular" w:cs="Tahoma"/>
                          <w:bCs/>
                          <w:caps/>
                          <w:color w:val="3B3B3B"/>
                          <w:sz w:val="32"/>
                          <w:szCs w:val="32"/>
                        </w:rPr>
                      </w:pPr>
                      <w:r w:rsidRPr="00FF726F">
                        <w:rPr>
                          <w:rFonts w:ascii="AvenirNext LT Pro Regular" w:eastAsiaTheme="majorEastAsia" w:hAnsi="AvenirNext LT Pro Regular" w:cs="Tahoma"/>
                          <w:bCs/>
                          <w:caps/>
                          <w:color w:val="3B3B3B"/>
                          <w:sz w:val="32"/>
                          <w:szCs w:val="32"/>
                        </w:rPr>
                        <w:t xml:space="preserve">Keeping a </w:t>
                      </w:r>
                    </w:p>
                    <w:p w14:paraId="464B5D7A" w14:textId="77777777" w:rsidR="00C418BA" w:rsidRPr="00FF726F" w:rsidRDefault="00C418BA" w:rsidP="00C418BA">
                      <w:pPr>
                        <w:ind w:left="180" w:right="315"/>
                        <w:jc w:val="center"/>
                        <w:rPr>
                          <w:rFonts w:ascii="AvenirNext LT Pro Regular" w:eastAsiaTheme="majorEastAsia" w:hAnsi="AvenirNext LT Pro Regular" w:cs="Tahoma"/>
                          <w:bCs/>
                          <w:caps/>
                          <w:color w:val="3B3B3B"/>
                          <w:sz w:val="32"/>
                          <w:szCs w:val="32"/>
                        </w:rPr>
                      </w:pPr>
                      <w:r w:rsidRPr="00FF726F">
                        <w:rPr>
                          <w:rFonts w:ascii="AvenirNext LT Pro Regular" w:eastAsiaTheme="majorEastAsia" w:hAnsi="AvenirNext LT Pro Regular" w:cs="Tahoma"/>
                          <w:bCs/>
                          <w:caps/>
                          <w:color w:val="3B3B3B"/>
                          <w:sz w:val="32"/>
                          <w:szCs w:val="32"/>
                        </w:rPr>
                        <w:t>balanced approach</w:t>
                      </w:r>
                    </w:p>
                    <w:p w14:paraId="544DF520" w14:textId="77777777" w:rsidR="00C418BA" w:rsidRPr="00FE3001" w:rsidRDefault="00C418BA" w:rsidP="00C418BA">
                      <w:pPr>
                        <w:ind w:left="180" w:right="315" w:firstLine="360"/>
                        <w:jc w:val="center"/>
                        <w:rPr>
                          <w:rFonts w:ascii="Tahoma" w:eastAsiaTheme="majorEastAsia" w:hAnsi="Tahoma" w:cs="Tahoma"/>
                          <w:b/>
                          <w:caps/>
                          <w:color w:val="3B3B3B"/>
                          <w:sz w:val="22"/>
                          <w:szCs w:val="22"/>
                        </w:rPr>
                      </w:pPr>
                      <w:r w:rsidRPr="00FE3001">
                        <w:rPr>
                          <w:rFonts w:ascii="Tahoma" w:eastAsiaTheme="majorEastAsia" w:hAnsi="Tahoma" w:cs="Tahoma"/>
                          <w:b/>
                          <w:caps/>
                          <w:color w:val="3B3B3B"/>
                          <w:sz w:val="22"/>
                          <w:szCs w:val="22"/>
                        </w:rPr>
                        <w:t>__________________</w:t>
                      </w:r>
                    </w:p>
                    <w:p w14:paraId="4DC1A45E" w14:textId="77777777" w:rsidR="00C418BA" w:rsidRPr="004D51AF" w:rsidRDefault="00C418BA" w:rsidP="00C418BA">
                      <w:pPr>
                        <w:ind w:left="540" w:right="315"/>
                        <w:jc w:val="center"/>
                        <w:rPr>
                          <w:rFonts w:ascii="Tahoma" w:eastAsiaTheme="majorEastAsia" w:hAnsi="Tahoma" w:cs="Tahoma"/>
                          <w:b/>
                          <w:caps/>
                          <w:color w:val="F99F1B"/>
                          <w:sz w:val="22"/>
                          <w:szCs w:val="22"/>
                        </w:rPr>
                      </w:pPr>
                    </w:p>
                    <w:p w14:paraId="18CB7887" w14:textId="77777777" w:rsidR="00C418BA" w:rsidRPr="003F4971" w:rsidRDefault="00C418BA" w:rsidP="00C418BA">
                      <w:pPr>
                        <w:ind w:left="540" w:right="315"/>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Summary:</w:t>
                      </w:r>
                    </w:p>
                    <w:p w14:paraId="50DB865E" w14:textId="77777777" w:rsidR="00C418BA" w:rsidRPr="003F4971" w:rsidRDefault="00C418BA" w:rsidP="00C418BA">
                      <w:pPr>
                        <w:pStyle w:val="ListParagraph"/>
                        <w:numPr>
                          <w:ilvl w:val="0"/>
                          <w:numId w:val="6"/>
                        </w:numPr>
                        <w:spacing w:line="0" w:lineRule="atLeast"/>
                        <w:ind w:right="317"/>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Global markets and the U.S. economy remained resilient through uncertainty.</w:t>
                      </w:r>
                    </w:p>
                    <w:p w14:paraId="10BEAE40" w14:textId="77777777" w:rsidR="00C418BA" w:rsidRPr="003F4971" w:rsidRDefault="00C418BA" w:rsidP="00C418BA">
                      <w:pPr>
                        <w:pStyle w:val="ListParagraph"/>
                        <w:numPr>
                          <w:ilvl w:val="0"/>
                          <w:numId w:val="6"/>
                        </w:numPr>
                        <w:spacing w:line="0" w:lineRule="atLeast"/>
                        <w:ind w:right="317"/>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Dollar strength during Q3 muted international returns but has been a</w:t>
                      </w:r>
                      <w:r>
                        <w:rPr>
                          <w:rFonts w:ascii="AvenirNext LT Pro Regular" w:hAnsi="AvenirNext LT Pro Regular" w:cs="Tahoma"/>
                          <w:b/>
                          <w:color w:val="3B3B3B"/>
                          <w:sz w:val="22"/>
                          <w:szCs w:val="22"/>
                        </w:rPr>
                        <w:t>n overall</w:t>
                      </w:r>
                      <w:r w:rsidRPr="003F4971">
                        <w:rPr>
                          <w:rFonts w:ascii="AvenirNext LT Pro Regular" w:hAnsi="AvenirNext LT Pro Regular" w:cs="Tahoma"/>
                          <w:b/>
                          <w:color w:val="3B3B3B"/>
                          <w:sz w:val="22"/>
                          <w:szCs w:val="22"/>
                        </w:rPr>
                        <w:t xml:space="preserve"> tailwind this year.</w:t>
                      </w:r>
                    </w:p>
                    <w:p w14:paraId="7E2F8884" w14:textId="77777777" w:rsidR="00C418BA" w:rsidRPr="003F4971" w:rsidRDefault="00C418BA" w:rsidP="00C418BA">
                      <w:pPr>
                        <w:pStyle w:val="ListParagraph"/>
                        <w:numPr>
                          <w:ilvl w:val="0"/>
                          <w:numId w:val="6"/>
                        </w:numPr>
                        <w:spacing w:line="0" w:lineRule="atLeast"/>
                        <w:ind w:right="317"/>
                        <w:rPr>
                          <w:rFonts w:ascii="AvenirNext LT Pro Regular" w:hAnsi="AvenirNext LT Pro Regular" w:cs="Tahoma"/>
                          <w:b/>
                          <w:color w:val="3B3B3B"/>
                          <w:sz w:val="22"/>
                          <w:szCs w:val="22"/>
                        </w:rPr>
                      </w:pPr>
                      <w:r w:rsidRPr="003F4971">
                        <w:rPr>
                          <w:rFonts w:ascii="AvenirNext LT Pro Regular" w:hAnsi="AvenirNext LT Pro Regular" w:cs="Tahoma"/>
                          <w:b/>
                          <w:color w:val="3B3B3B"/>
                          <w:sz w:val="22"/>
                          <w:szCs w:val="22"/>
                        </w:rPr>
                        <w:t xml:space="preserve">Fed policy begins to ease </w:t>
                      </w:r>
                      <w:proofErr w:type="gramStart"/>
                      <w:r>
                        <w:rPr>
                          <w:rFonts w:ascii="AvenirNext LT Pro Regular" w:hAnsi="AvenirNext LT Pro Regular" w:cs="Tahoma"/>
                          <w:b/>
                          <w:color w:val="3B3B3B"/>
                          <w:sz w:val="22"/>
                          <w:szCs w:val="22"/>
                        </w:rPr>
                        <w:t>in order to</w:t>
                      </w:r>
                      <w:proofErr w:type="gramEnd"/>
                      <w:r>
                        <w:rPr>
                          <w:rFonts w:ascii="AvenirNext LT Pro Regular" w:hAnsi="AvenirNext LT Pro Regular" w:cs="Tahoma"/>
                          <w:b/>
                          <w:color w:val="3B3B3B"/>
                          <w:sz w:val="22"/>
                          <w:szCs w:val="22"/>
                        </w:rPr>
                        <w:t xml:space="preserve"> support labor markets</w:t>
                      </w:r>
                    </w:p>
                    <w:p w14:paraId="009523CC" w14:textId="77777777" w:rsidR="00C418BA" w:rsidRDefault="00C418BA" w:rsidP="00C418BA">
                      <w:pPr>
                        <w:pStyle w:val="ListParagraph"/>
                        <w:spacing w:line="0" w:lineRule="atLeast"/>
                        <w:ind w:left="540" w:right="315"/>
                        <w:rPr>
                          <w:rFonts w:ascii="AvenirNext LT Pro Regular" w:hAnsi="AvenirNext LT Pro Regular" w:cs="Tahoma"/>
                          <w:b/>
                          <w:color w:val="3B3B3B"/>
                          <w:sz w:val="22"/>
                          <w:szCs w:val="22"/>
                        </w:rPr>
                      </w:pPr>
                    </w:p>
                    <w:p w14:paraId="748AF5B0" w14:textId="77777777" w:rsidR="00C418BA" w:rsidRPr="00105E4C" w:rsidRDefault="00C418BA" w:rsidP="00C418BA">
                      <w:pPr>
                        <w:pStyle w:val="ListParagraph"/>
                        <w:spacing w:line="0" w:lineRule="atLeast"/>
                        <w:ind w:left="540" w:right="315"/>
                        <w:rPr>
                          <w:rFonts w:ascii="AvenirNext LT Pro Regular" w:hAnsi="AvenirNext LT Pro Regular" w:cs="Tahoma"/>
                          <w:b/>
                          <w:color w:val="3B3B3B"/>
                          <w:sz w:val="22"/>
                          <w:szCs w:val="22"/>
                        </w:rPr>
                      </w:pPr>
                    </w:p>
                    <w:p w14:paraId="12006411" w14:textId="77777777" w:rsidR="00C418BA" w:rsidRPr="00016C01" w:rsidRDefault="00C418BA" w:rsidP="00C418BA">
                      <w:pPr>
                        <w:ind w:left="540"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Glass half-full</w:t>
                      </w:r>
                      <w:r w:rsidRPr="00016C01">
                        <w:rPr>
                          <w:rFonts w:ascii="AvenirNext LT Pro Regular" w:hAnsi="AvenirNext LT Pro Regular" w:cs="Tahoma"/>
                          <w:b/>
                          <w:color w:val="3B3B3B"/>
                          <w:sz w:val="22"/>
                          <w:szCs w:val="22"/>
                        </w:rPr>
                        <w:t>:</w:t>
                      </w:r>
                    </w:p>
                    <w:p w14:paraId="340B9A3F" w14:textId="77777777" w:rsidR="00C418BA"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Global stock markets continued their upward climb in Q3.</w:t>
                      </w:r>
                    </w:p>
                    <w:p w14:paraId="3C2933F6" w14:textId="77777777" w:rsidR="00C418BA"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Near-term recession risks continue to fade.</w:t>
                      </w:r>
                    </w:p>
                    <w:p w14:paraId="13BB2C60" w14:textId="77777777" w:rsidR="00C418BA"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U.S. GDP for Q2 was 3.8% and is expected to show similar growth in Q3.</w:t>
                      </w:r>
                    </w:p>
                    <w:p w14:paraId="0EA227B5" w14:textId="77777777" w:rsidR="00C418BA" w:rsidRPr="000C6C43" w:rsidRDefault="00C418BA" w:rsidP="00C418BA">
                      <w:pPr>
                        <w:pStyle w:val="ListParagraph"/>
                        <w:numPr>
                          <w:ilvl w:val="0"/>
                          <w:numId w:val="2"/>
                        </w:numPr>
                        <w:ind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The Fed lowered interest rates for the first time in 2025.</w:t>
                      </w:r>
                    </w:p>
                    <w:p w14:paraId="7DDA1381" w14:textId="77777777" w:rsidR="00C418BA" w:rsidRPr="00FE06A7" w:rsidRDefault="00C418BA" w:rsidP="00C418BA">
                      <w:pPr>
                        <w:pStyle w:val="ListParagraph"/>
                        <w:ind w:left="540" w:right="315"/>
                        <w:rPr>
                          <w:rFonts w:ascii="AvenirNext LT Pro Regular" w:hAnsi="AvenirNext LT Pro Regular" w:cs="Tahoma"/>
                          <w:b/>
                          <w:color w:val="3B3B3B"/>
                          <w:sz w:val="22"/>
                          <w:szCs w:val="22"/>
                        </w:rPr>
                      </w:pPr>
                    </w:p>
                    <w:p w14:paraId="322B4A61" w14:textId="77777777" w:rsidR="00C418BA" w:rsidRPr="00016C01" w:rsidRDefault="00C418BA" w:rsidP="00C418BA">
                      <w:pPr>
                        <w:ind w:left="180" w:right="317" w:firstLine="360"/>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Glass half-empty</w:t>
                      </w:r>
                      <w:r w:rsidRPr="00016C01">
                        <w:rPr>
                          <w:rFonts w:ascii="AvenirNext LT Pro Regular" w:hAnsi="AvenirNext LT Pro Regular" w:cs="Tahoma"/>
                          <w:b/>
                          <w:color w:val="3B3B3B"/>
                          <w:sz w:val="22"/>
                          <w:szCs w:val="22"/>
                        </w:rPr>
                        <w:t>:</w:t>
                      </w:r>
                    </w:p>
                    <w:p w14:paraId="41D1314C" w14:textId="77777777" w:rsidR="00C418BA" w:rsidRPr="00EB703C"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Labor markets show signs of softening.</w:t>
                      </w:r>
                    </w:p>
                    <w:p w14:paraId="115D0415" w14:textId="77777777" w:rsidR="00C418BA" w:rsidRPr="00EB703C"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Fed’s preferred inflation measure, Core PCE, continues to be stubborn at 2.9%, higher than the preferred level of 2%.</w:t>
                      </w:r>
                      <w:r w:rsidRPr="00EB703C">
                        <w:rPr>
                          <w:rFonts w:ascii="AvenirNext LT Pro Regular" w:hAnsi="AvenirNext LT Pro Regular" w:cs="Tahoma"/>
                          <w:b/>
                          <w:color w:val="3B3B3B"/>
                          <w:sz w:val="22"/>
                          <w:szCs w:val="22"/>
                        </w:rPr>
                        <w:t xml:space="preserve">  </w:t>
                      </w:r>
                    </w:p>
                    <w:p w14:paraId="38725A71" w14:textId="77777777" w:rsidR="00C418BA"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AI-related spending is robust, but future revenue streams are not clear.</w:t>
                      </w:r>
                    </w:p>
                    <w:p w14:paraId="16047F77" w14:textId="77777777" w:rsidR="00C418BA" w:rsidRPr="00052896" w:rsidRDefault="00C418BA" w:rsidP="00C418BA">
                      <w:pPr>
                        <w:pStyle w:val="ListParagraph"/>
                        <w:numPr>
                          <w:ilvl w:val="0"/>
                          <w:numId w:val="3"/>
                        </w:numPr>
                        <w:spacing w:line="0" w:lineRule="atLeast"/>
                        <w:ind w:left="547" w:right="315"/>
                        <w:rPr>
                          <w:rFonts w:ascii="AvenirNext LT Pro Regular" w:hAnsi="AvenirNext LT Pro Regular" w:cs="Tahoma"/>
                          <w:b/>
                          <w:color w:val="3B3B3B"/>
                          <w:sz w:val="22"/>
                          <w:szCs w:val="22"/>
                        </w:rPr>
                      </w:pPr>
                      <w:r>
                        <w:rPr>
                          <w:rFonts w:ascii="AvenirNext LT Pro Regular" w:hAnsi="AvenirNext LT Pro Regular" w:cs="Tahoma"/>
                          <w:b/>
                          <w:color w:val="3B3B3B"/>
                          <w:sz w:val="22"/>
                          <w:szCs w:val="22"/>
                        </w:rPr>
                        <w:t>Q3 ended with a shutdown of the U.S. Federal Government.</w:t>
                      </w:r>
                    </w:p>
                  </w:txbxContent>
                </v:textbox>
                <w10:wrap type="square"/>
              </v:shape>
            </w:pict>
          </mc:Fallback>
        </mc:AlternateContent>
      </w:r>
      <w:r w:rsidR="00716735" w:rsidRPr="00716735">
        <w:rPr>
          <w:rFonts w:ascii="Source Sans Pro" w:hAnsi="Source Sans Pro" w:cs="Tahoma"/>
          <w:b/>
          <w:noProof/>
          <w:sz w:val="22"/>
          <w:szCs w:val="22"/>
          <w:highlight w:val="yellow"/>
          <w14:textOutline w14:w="9525" w14:cap="rnd" w14:cmpd="sng" w14:algn="ctr">
            <w14:solidFill>
              <w14:schemeClr w14:val="accent1"/>
            </w14:solidFill>
            <w14:prstDash w14:val="solid"/>
            <w14:bevel/>
          </w14:textOutline>
        </w:rPr>
        <mc:AlternateContent>
          <mc:Choice Requires="wps">
            <w:drawing>
              <wp:anchor distT="0" distB="0" distL="114300" distR="114300" simplePos="0" relativeHeight="251658241" behindDoc="0" locked="0" layoutInCell="1" allowOverlap="1" wp14:anchorId="63A86718" wp14:editId="53959895">
                <wp:simplePos x="0" y="0"/>
                <wp:positionH relativeFrom="margin">
                  <wp:posOffset>-76200</wp:posOffset>
                </wp:positionH>
                <wp:positionV relativeFrom="paragraph">
                  <wp:posOffset>6743065</wp:posOffset>
                </wp:positionV>
                <wp:extent cx="3505200" cy="487680"/>
                <wp:effectExtent l="0" t="0" r="0" b="7620"/>
                <wp:wrapSquare wrapText="bothSides"/>
                <wp:docPr id="4" name="Text Box 4"/>
                <wp:cNvGraphicFramePr/>
                <a:graphic xmlns:a="http://schemas.openxmlformats.org/drawingml/2006/main">
                  <a:graphicData uri="http://schemas.microsoft.com/office/word/2010/wordprocessingShape">
                    <wps:wsp>
                      <wps:cNvSpPr txBox="1"/>
                      <wps:spPr>
                        <a:xfrm>
                          <a:off x="0" y="0"/>
                          <a:ext cx="3505200" cy="487680"/>
                        </a:xfrm>
                        <a:prstGeom prst="rect">
                          <a:avLst/>
                        </a:prstGeom>
                        <a:noFill/>
                        <a:ln w="6350">
                          <a:noFill/>
                        </a:ln>
                      </wps:spPr>
                      <wps:txbx>
                        <w:txbxContent>
                          <w:p w14:paraId="40C6772E" w14:textId="77777777" w:rsidR="00C418BA" w:rsidRDefault="00C418BA" w:rsidP="00C418BA">
                            <w:pPr>
                              <w:rPr>
                                <w:rFonts w:ascii="AvenirNext LT Pro Regular" w:hAnsi="AvenirNext LT Pro Regular" w:cs="Tahoma"/>
                                <w:sz w:val="16"/>
                                <w:szCs w:val="16"/>
                              </w:rPr>
                            </w:pPr>
                            <w:r w:rsidRPr="00FF726F">
                              <w:rPr>
                                <w:rFonts w:ascii="AvenirNext LT Pro Regular" w:hAnsi="AvenirNext LT Pro Regular" w:cs="Tahoma"/>
                                <w:sz w:val="16"/>
                                <w:szCs w:val="16"/>
                              </w:rPr>
                              <w:t xml:space="preserve">Source: Morningstar; Russell, MSCI, Dow Jones, Bloomberg, ICE </w:t>
                            </w:r>
                            <w:proofErr w:type="spellStart"/>
                            <w:r w:rsidRPr="00FF726F">
                              <w:rPr>
                                <w:rFonts w:ascii="AvenirNext LT Pro Regular" w:hAnsi="AvenirNext LT Pro Regular" w:cs="Tahoma"/>
                                <w:sz w:val="16"/>
                                <w:szCs w:val="16"/>
                              </w:rPr>
                              <w:t>BoA</w:t>
                            </w:r>
                            <w:proofErr w:type="spellEnd"/>
                            <w:r w:rsidRPr="00FF726F">
                              <w:rPr>
                                <w:rFonts w:ascii="AvenirNext LT Pro Regular" w:hAnsi="AvenirNext LT Pro Regular" w:cs="Tahoma"/>
                                <w:sz w:val="16"/>
                                <w:szCs w:val="16"/>
                              </w:rPr>
                              <w:t xml:space="preserve"> ML benchmarks shown; past performance is not indicative of future results</w:t>
                            </w:r>
                          </w:p>
                          <w:p w14:paraId="48BDBD69" w14:textId="77777777" w:rsidR="00C418BA" w:rsidRDefault="00C418BA" w:rsidP="00C418BA">
                            <w:pPr>
                              <w:rPr>
                                <w:rFonts w:ascii="AvenirNext LT Pro Regular" w:hAnsi="AvenirNext LT Pro Regular" w:cs="Tahoma"/>
                                <w:sz w:val="16"/>
                                <w:szCs w:val="16"/>
                              </w:rPr>
                            </w:pPr>
                          </w:p>
                          <w:p w14:paraId="690C8602" w14:textId="77777777" w:rsidR="00C418BA" w:rsidRDefault="00C418BA" w:rsidP="00C418BA">
                            <w:pPr>
                              <w:rPr>
                                <w:rFonts w:ascii="AvenirNext LT Pro Regular" w:hAnsi="AvenirNext LT Pro Regular" w:cs="Tahoma"/>
                                <w:sz w:val="16"/>
                                <w:szCs w:val="16"/>
                              </w:rPr>
                            </w:pPr>
                          </w:p>
                          <w:p w14:paraId="7F9DA894" w14:textId="77777777" w:rsidR="00C418BA" w:rsidRDefault="00C418BA" w:rsidP="00C418BA">
                            <w:pPr>
                              <w:rPr>
                                <w:rFonts w:ascii="AvenirNext LT Pro Regular" w:hAnsi="AvenirNext LT Pro Regular" w:cs="Tahoma"/>
                                <w:sz w:val="16"/>
                                <w:szCs w:val="16"/>
                              </w:rPr>
                            </w:pPr>
                          </w:p>
                          <w:p w14:paraId="5210D978" w14:textId="77777777" w:rsidR="00C418BA" w:rsidRDefault="00C418BA" w:rsidP="00C418BA">
                            <w:pPr>
                              <w:rPr>
                                <w:rFonts w:ascii="AvenirNext LT Pro Regular" w:hAnsi="AvenirNext LT Pro Regular" w:cs="Tahoma"/>
                                <w:sz w:val="16"/>
                                <w:szCs w:val="16"/>
                              </w:rPr>
                            </w:pPr>
                          </w:p>
                          <w:p w14:paraId="4E27C3F6" w14:textId="77777777" w:rsidR="00C418BA" w:rsidRPr="00FF726F" w:rsidRDefault="00C418BA" w:rsidP="00C418BA">
                            <w:pPr>
                              <w:rPr>
                                <w:rFonts w:ascii="AvenirNext LT Pro Regular" w:hAnsi="AvenirNext LT Pro Regular" w:cs="Tahoma"/>
                                <w:sz w:val="16"/>
                                <w:szCs w:val="16"/>
                              </w:rPr>
                            </w:pPr>
                          </w:p>
                          <w:p w14:paraId="52A7DD25" w14:textId="77777777" w:rsidR="000123F0" w:rsidRPr="002B4530" w:rsidRDefault="000123F0" w:rsidP="000123F0">
                            <w:pPr>
                              <w:rPr>
                                <w:rFonts w:ascii="Tahoma" w:eastAsiaTheme="minorHAnsi" w:hAnsi="Tahoma" w:cs="Tahom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A86718" id="Text Box 4" o:spid="_x0000_s1027" type="#_x0000_t202" style="position:absolute;left:0;text-align:left;margin-left:-6pt;margin-top:530.95pt;width:276pt;height:38.4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" filled="f" stroked="f" strokeweight=".5pt">
                <v:textbox>
                  <w:txbxContent>
                    <w:p w14:paraId="40C6772E" w14:textId="77777777" w:rsidR="00C418BA" w:rsidRDefault="00C418BA" w:rsidP="00C418BA">
                      <w:pPr>
                        <w:rPr>
                          <w:rFonts w:ascii="AvenirNext LT Pro Regular" w:hAnsi="AvenirNext LT Pro Regular" w:cs="Tahoma"/>
                          <w:sz w:val="16"/>
                          <w:szCs w:val="16"/>
                        </w:rPr>
                      </w:pPr>
                      <w:r w:rsidRPr="00FF726F">
                        <w:rPr>
                          <w:rFonts w:ascii="AvenirNext LT Pro Regular" w:hAnsi="AvenirNext LT Pro Regular" w:cs="Tahoma"/>
                          <w:sz w:val="16"/>
                          <w:szCs w:val="16"/>
                        </w:rPr>
                        <w:t xml:space="preserve">Source: Morningstar; Russell, MSCI, Dow Jones, Bloomberg, ICE </w:t>
                      </w:r>
                      <w:proofErr w:type="spellStart"/>
                      <w:r w:rsidRPr="00FF726F">
                        <w:rPr>
                          <w:rFonts w:ascii="AvenirNext LT Pro Regular" w:hAnsi="AvenirNext LT Pro Regular" w:cs="Tahoma"/>
                          <w:sz w:val="16"/>
                          <w:szCs w:val="16"/>
                        </w:rPr>
                        <w:t>BoA</w:t>
                      </w:r>
                      <w:proofErr w:type="spellEnd"/>
                      <w:r w:rsidRPr="00FF726F">
                        <w:rPr>
                          <w:rFonts w:ascii="AvenirNext LT Pro Regular" w:hAnsi="AvenirNext LT Pro Regular" w:cs="Tahoma"/>
                          <w:sz w:val="16"/>
                          <w:szCs w:val="16"/>
                        </w:rPr>
                        <w:t xml:space="preserve"> ML benchmarks shown; past performance is not indicative of future results</w:t>
                      </w:r>
                    </w:p>
                    <w:p w14:paraId="48BDBD69" w14:textId="77777777" w:rsidR="00C418BA" w:rsidRDefault="00C418BA" w:rsidP="00C418BA">
                      <w:pPr>
                        <w:rPr>
                          <w:rFonts w:ascii="AvenirNext LT Pro Regular" w:hAnsi="AvenirNext LT Pro Regular" w:cs="Tahoma"/>
                          <w:sz w:val="16"/>
                          <w:szCs w:val="16"/>
                        </w:rPr>
                      </w:pPr>
                    </w:p>
                    <w:p w14:paraId="690C8602" w14:textId="77777777" w:rsidR="00C418BA" w:rsidRDefault="00C418BA" w:rsidP="00C418BA">
                      <w:pPr>
                        <w:rPr>
                          <w:rFonts w:ascii="AvenirNext LT Pro Regular" w:hAnsi="AvenirNext LT Pro Regular" w:cs="Tahoma"/>
                          <w:sz w:val="16"/>
                          <w:szCs w:val="16"/>
                        </w:rPr>
                      </w:pPr>
                    </w:p>
                    <w:p w14:paraId="7F9DA894" w14:textId="77777777" w:rsidR="00C418BA" w:rsidRDefault="00C418BA" w:rsidP="00C418BA">
                      <w:pPr>
                        <w:rPr>
                          <w:rFonts w:ascii="AvenirNext LT Pro Regular" w:hAnsi="AvenirNext LT Pro Regular" w:cs="Tahoma"/>
                          <w:sz w:val="16"/>
                          <w:szCs w:val="16"/>
                        </w:rPr>
                      </w:pPr>
                    </w:p>
                    <w:p w14:paraId="5210D978" w14:textId="77777777" w:rsidR="00C418BA" w:rsidRDefault="00C418BA" w:rsidP="00C418BA">
                      <w:pPr>
                        <w:rPr>
                          <w:rFonts w:ascii="AvenirNext LT Pro Regular" w:hAnsi="AvenirNext LT Pro Regular" w:cs="Tahoma"/>
                          <w:sz w:val="16"/>
                          <w:szCs w:val="16"/>
                        </w:rPr>
                      </w:pPr>
                    </w:p>
                    <w:p w14:paraId="4E27C3F6" w14:textId="77777777" w:rsidR="00C418BA" w:rsidRPr="00FF726F" w:rsidRDefault="00C418BA" w:rsidP="00C418BA">
                      <w:pPr>
                        <w:rPr>
                          <w:rFonts w:ascii="AvenirNext LT Pro Regular" w:hAnsi="AvenirNext LT Pro Regular" w:cs="Tahoma"/>
                          <w:sz w:val="16"/>
                          <w:szCs w:val="16"/>
                        </w:rPr>
                      </w:pPr>
                    </w:p>
                    <w:p w14:paraId="52A7DD25" w14:textId="77777777" w:rsidR="000123F0" w:rsidRPr="002B4530" w:rsidRDefault="000123F0" w:rsidP="000123F0">
                      <w:pPr>
                        <w:rPr>
                          <w:rFonts w:ascii="Tahoma" w:eastAsiaTheme="minorHAnsi" w:hAnsi="Tahoma" w:cs="Tahoma"/>
                          <w:sz w:val="20"/>
                          <w:szCs w:val="20"/>
                        </w:rPr>
                      </w:pPr>
                    </w:p>
                  </w:txbxContent>
                </v:textbox>
                <w10:wrap type="square" anchorx="margin"/>
              </v:shape>
            </w:pict>
          </mc:Fallback>
        </mc:AlternateContent>
      </w:r>
      <w:r w:rsidRPr="00716735">
        <w:rPr>
          <w:rFonts w:ascii="Source Sans Pro" w:hAnsi="Source Sans Pro" w:cs="Tahoma"/>
          <w:noProof/>
          <w:sz w:val="22"/>
          <w:szCs w:val="22"/>
          <w14:textOutline w14:w="9525" w14:cap="rnd" w14:cmpd="sng" w14:algn="ctr">
            <w14:solidFill>
              <w14:schemeClr w14:val="accent1"/>
            </w14:solidFill>
            <w14:prstDash w14:val="solid"/>
            <w14:bevel/>
          </w14:textOutline>
        </w:rPr>
        <w:drawing>
          <wp:inline distT="0" distB="0" distL="0" distR="0" wp14:anchorId="499CAE91" wp14:editId="5BC50525">
            <wp:extent cx="2971800" cy="6206969"/>
            <wp:effectExtent l="0" t="0" r="0" b="3810"/>
            <wp:docPr id="1545842464" name="Chart 15458424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7D08E3" w:rsidRPr="00716735">
        <w:rPr>
          <w:rFonts w:ascii="Source Sans Pro" w:hAnsi="Source Sans Pro" w:cs="Tahoma"/>
          <w:b/>
          <w:sz w:val="22"/>
          <w:szCs w:val="22"/>
          <w:u w:val="single"/>
          <w14:textOutline w14:w="9525" w14:cap="rnd" w14:cmpd="sng" w14:algn="ctr">
            <w14:solidFill>
              <w14:schemeClr w14:val="accent1"/>
            </w14:solidFill>
            <w14:prstDash w14:val="solid"/>
            <w14:bevel/>
          </w14:textOutline>
        </w:rPr>
        <w:t xml:space="preserve"> </w:t>
      </w:r>
    </w:p>
    <w:p w14:paraId="12E68570" w14:textId="0508593A" w:rsidR="00583909" w:rsidRDefault="00583909" w:rsidP="00E80725">
      <w:pPr>
        <w:jc w:val="both"/>
        <w:rPr>
          <w:rFonts w:ascii="Source Sans Pro" w:hAnsi="Source Sans Pro" w:cs="Tahoma"/>
          <w:b/>
          <w:sz w:val="22"/>
          <w:szCs w:val="22"/>
          <w:u w:val="single"/>
        </w:rPr>
      </w:pPr>
    </w:p>
    <w:p w14:paraId="45D873F6" w14:textId="77777777" w:rsidR="00F01BA9" w:rsidRDefault="00F01BA9" w:rsidP="00D65262">
      <w:pPr>
        <w:jc w:val="both"/>
        <w:rPr>
          <w:rFonts w:ascii="Source Sans Pro" w:hAnsi="Source Sans Pro" w:cs="Tahoma"/>
          <w:b/>
          <w:sz w:val="22"/>
          <w:szCs w:val="22"/>
          <w:u w:val="single"/>
        </w:rPr>
      </w:pPr>
    </w:p>
    <w:p w14:paraId="51863A5B" w14:textId="77777777" w:rsidR="00CE3D7D" w:rsidRDefault="00CE3D7D" w:rsidP="00821E54">
      <w:pPr>
        <w:jc w:val="both"/>
        <w:rPr>
          <w:rFonts w:ascii="AvenirNext LT Pro Regular" w:hAnsi="AvenirNext LT Pro Regular" w:cs="Tahoma"/>
          <w:b/>
          <w:sz w:val="20"/>
          <w:szCs w:val="20"/>
          <w:u w:val="single"/>
        </w:rPr>
      </w:pPr>
      <w:bookmarkStart w:id="0" w:name="_Hlk63081397"/>
    </w:p>
    <w:p w14:paraId="15E7319D" w14:textId="77777777" w:rsidR="00C418BA" w:rsidRDefault="00C418BA" w:rsidP="00C418BA">
      <w:pPr>
        <w:pStyle w:val="ListParagraph"/>
        <w:jc w:val="both"/>
        <w:rPr>
          <w:rFonts w:ascii="AvenirNext LT Pro Regular" w:hAnsi="AvenirNext LT Pro Regular" w:cs="Tahoma"/>
          <w:color w:val="00B050"/>
          <w:sz w:val="20"/>
          <w:szCs w:val="20"/>
        </w:rPr>
      </w:pPr>
    </w:p>
    <w:bookmarkEnd w:id="0"/>
    <w:p w14:paraId="1872B7C7" w14:textId="77777777" w:rsidR="00C418BA" w:rsidRDefault="00C418BA" w:rsidP="00C418BA">
      <w:pPr>
        <w:jc w:val="both"/>
        <w:rPr>
          <w:rFonts w:ascii="AvenirNext LT Pro Regular" w:hAnsi="AvenirNext LT Pro Regular" w:cs="Tahoma"/>
          <w:b/>
          <w:sz w:val="20"/>
          <w:szCs w:val="20"/>
          <w:u w:val="single"/>
        </w:rPr>
      </w:pPr>
    </w:p>
    <w:p w14:paraId="38DA30F5" w14:textId="77777777" w:rsidR="00C418BA" w:rsidRDefault="00C418BA" w:rsidP="00C418BA">
      <w:pPr>
        <w:jc w:val="both"/>
        <w:rPr>
          <w:rFonts w:ascii="AvenirNext LT Pro Regular" w:hAnsi="AvenirNext LT Pro Regular" w:cs="Tahoma"/>
          <w:b/>
          <w:sz w:val="20"/>
          <w:szCs w:val="20"/>
          <w:u w:val="single"/>
        </w:rPr>
      </w:pPr>
    </w:p>
    <w:p w14:paraId="5DAA24F0" w14:textId="040116F4" w:rsidR="00C418BA" w:rsidRDefault="00C418BA" w:rsidP="00C418BA">
      <w:pPr>
        <w:jc w:val="both"/>
        <w:rPr>
          <w:rFonts w:ascii="AvenirNext LT Pro Regular" w:hAnsi="AvenirNext LT Pro Regular" w:cs="Tahoma"/>
          <w:b/>
          <w:sz w:val="20"/>
          <w:szCs w:val="20"/>
          <w:u w:val="single"/>
        </w:rPr>
      </w:pPr>
      <w:r>
        <w:rPr>
          <w:rFonts w:ascii="AvenirNext LT Pro Regular" w:hAnsi="AvenirNext LT Pro Regular" w:cs="Tahoma"/>
          <w:b/>
          <w:sz w:val="20"/>
          <w:szCs w:val="20"/>
          <w:u w:val="single"/>
        </w:rPr>
        <w:lastRenderedPageBreak/>
        <w:t>Q3 2025 by the numbers</w:t>
      </w:r>
    </w:p>
    <w:p w14:paraId="6357EEEA" w14:textId="77777777" w:rsidR="00C418BA" w:rsidRDefault="00C418BA" w:rsidP="00C418BA">
      <w:pPr>
        <w:jc w:val="both"/>
        <w:rPr>
          <w:rFonts w:ascii="AvenirNext LT Pro Regular" w:hAnsi="AvenirNext LT Pro Regular" w:cs="Tahoma"/>
          <w:b/>
          <w:sz w:val="20"/>
          <w:szCs w:val="20"/>
          <w:u w:val="single"/>
        </w:rPr>
      </w:pPr>
    </w:p>
    <w:p w14:paraId="3F757E25" w14:textId="77777777" w:rsidR="00C418BA" w:rsidRPr="00DE05C4" w:rsidRDefault="00C418BA" w:rsidP="00C418BA">
      <w:pPr>
        <w:pStyle w:val="ListParagraph"/>
        <w:numPr>
          <w:ilvl w:val="0"/>
          <w:numId w:val="13"/>
        </w:numPr>
        <w:jc w:val="both"/>
        <w:rPr>
          <w:rFonts w:ascii="AvenirNext LT Pro Regular" w:hAnsi="AvenirNext LT Pro Regular" w:cs="Tahoma"/>
          <w:color w:val="00B050"/>
          <w:sz w:val="20"/>
          <w:szCs w:val="20"/>
        </w:rPr>
      </w:pPr>
      <w:r>
        <w:rPr>
          <w:rFonts w:ascii="AvenirNext LT Pro Regular" w:hAnsi="AvenirNext LT Pro Regular" w:cs="Tahoma"/>
          <w:color w:val="00B050"/>
          <w:sz w:val="20"/>
          <w:szCs w:val="20"/>
        </w:rPr>
        <w:t>4.00% - 4.25%</w:t>
      </w:r>
      <w:r w:rsidRPr="0026141F">
        <w:rPr>
          <w:rFonts w:ascii="AvenirNext LT Pro Regular" w:hAnsi="AvenirNext LT Pro Regular" w:cs="Tahoma"/>
          <w:color w:val="00B050"/>
          <w:sz w:val="20"/>
          <w:szCs w:val="20"/>
        </w:rPr>
        <w:t xml:space="preserve"> </w:t>
      </w:r>
      <w:r>
        <w:rPr>
          <w:rFonts w:ascii="AvenirNext LT Pro Regular" w:hAnsi="AvenirNext LT Pro Regular" w:cs="Tahoma"/>
          <w:sz w:val="20"/>
          <w:szCs w:val="20"/>
        </w:rPr>
        <w:t>represents the current policy target range for the Federal Funds rate set by the Federal Reserve. As the Fed lowers rates, it has mixed implications for longer-term rates and financing costs for consumers.</w:t>
      </w:r>
    </w:p>
    <w:p w14:paraId="197523F1" w14:textId="77777777" w:rsidR="00C418BA" w:rsidRDefault="00C418BA" w:rsidP="00C418BA">
      <w:pPr>
        <w:pStyle w:val="ListParagraph"/>
        <w:numPr>
          <w:ilvl w:val="0"/>
          <w:numId w:val="13"/>
        </w:numPr>
        <w:jc w:val="both"/>
        <w:rPr>
          <w:rFonts w:ascii="AvenirNext LT Pro Regular" w:hAnsi="AvenirNext LT Pro Regular" w:cs="Tahoma"/>
          <w:sz w:val="20"/>
          <w:szCs w:val="20"/>
        </w:rPr>
      </w:pPr>
      <w:r w:rsidRPr="00B77527">
        <w:rPr>
          <w:rFonts w:ascii="AvenirNext LT Pro Regular" w:hAnsi="AvenirNext LT Pro Regular" w:cs="Tahoma"/>
          <w:color w:val="00B050"/>
          <w:sz w:val="20"/>
          <w:szCs w:val="20"/>
        </w:rPr>
        <w:t>$</w:t>
      </w:r>
      <w:r>
        <w:rPr>
          <w:rFonts w:ascii="AvenirNext LT Pro Regular" w:hAnsi="AvenirNext LT Pro Regular" w:cs="Tahoma"/>
          <w:color w:val="00B050"/>
          <w:sz w:val="20"/>
          <w:szCs w:val="20"/>
        </w:rPr>
        <w:t>211</w:t>
      </w:r>
      <w:r w:rsidRPr="00B77527">
        <w:rPr>
          <w:rFonts w:ascii="AvenirNext LT Pro Regular" w:hAnsi="AvenirNext LT Pro Regular" w:cs="Tahoma"/>
          <w:color w:val="00B050"/>
          <w:sz w:val="20"/>
          <w:szCs w:val="20"/>
        </w:rPr>
        <w:t xml:space="preserve"> billion </w:t>
      </w:r>
      <w:r w:rsidRPr="00B77527">
        <w:rPr>
          <w:rFonts w:ascii="AvenirNext LT Pro Regular" w:hAnsi="AvenirNext LT Pro Regular" w:cs="Tahoma"/>
          <w:sz w:val="20"/>
          <w:szCs w:val="20"/>
        </w:rPr>
        <w:t>is the cumulative amount of capital estimated to have been spent on artificial-intelligence projects by the end of last year by major technology companies. So far markets have rewarded this behavior but eventually profits will need to follow.</w:t>
      </w:r>
    </w:p>
    <w:p w14:paraId="3DF08781" w14:textId="77777777" w:rsidR="00C418BA" w:rsidRPr="00B77527" w:rsidRDefault="00C418BA" w:rsidP="00C418BA">
      <w:pPr>
        <w:pStyle w:val="ListParagraph"/>
        <w:numPr>
          <w:ilvl w:val="0"/>
          <w:numId w:val="13"/>
        </w:numPr>
        <w:jc w:val="both"/>
        <w:rPr>
          <w:rFonts w:ascii="AvenirNext LT Pro Regular" w:hAnsi="AvenirNext LT Pro Regular" w:cs="Tahoma"/>
          <w:sz w:val="20"/>
          <w:szCs w:val="20"/>
        </w:rPr>
      </w:pPr>
      <w:r w:rsidRPr="00B77527">
        <w:rPr>
          <w:rFonts w:ascii="AvenirNext LT Pro Regular" w:hAnsi="AvenirNext LT Pro Regular" w:cs="Tahoma"/>
          <w:color w:val="00B050"/>
          <w:sz w:val="20"/>
          <w:szCs w:val="20"/>
        </w:rPr>
        <w:t xml:space="preserve">+0.11% </w:t>
      </w:r>
      <w:r w:rsidRPr="00B77527">
        <w:rPr>
          <w:rFonts w:ascii="AvenirNext LT Pro Regular" w:hAnsi="AvenirNext LT Pro Regular" w:cs="Tahoma"/>
          <w:sz w:val="20"/>
          <w:szCs w:val="20"/>
        </w:rPr>
        <w:t>is the average S&amp;P 500 index performance during prior federal government shutdowns.</w:t>
      </w:r>
    </w:p>
    <w:p w14:paraId="4F8B271F" w14:textId="77777777" w:rsidR="00C418BA" w:rsidRPr="00DE05C4" w:rsidRDefault="00C418BA" w:rsidP="00C418BA">
      <w:pPr>
        <w:pStyle w:val="ListParagraph"/>
        <w:numPr>
          <w:ilvl w:val="0"/>
          <w:numId w:val="13"/>
        </w:numPr>
        <w:jc w:val="both"/>
        <w:rPr>
          <w:rFonts w:ascii="AvenirNext LT Pro Regular" w:hAnsi="AvenirNext LT Pro Regular" w:cs="Tahoma"/>
          <w:sz w:val="20"/>
          <w:szCs w:val="20"/>
        </w:rPr>
      </w:pPr>
      <w:r>
        <w:rPr>
          <w:rFonts w:ascii="AvenirNext LT Pro Regular" w:hAnsi="AvenirNext LT Pro Regular" w:cs="Tahoma"/>
          <w:color w:val="00B050"/>
          <w:sz w:val="20"/>
          <w:szCs w:val="20"/>
        </w:rPr>
        <w:t xml:space="preserve">+12.6% </w:t>
      </w:r>
      <w:r w:rsidRPr="00781CF5">
        <w:rPr>
          <w:rFonts w:ascii="AvenirNext LT Pro Regular" w:hAnsi="AvenirNext LT Pro Regular" w:cs="Tahoma"/>
          <w:sz w:val="20"/>
          <w:szCs w:val="20"/>
        </w:rPr>
        <w:t xml:space="preserve">is the YTD return of a portfolio comprised of 60% MSCI ACWI and 40% Bloomberg Global Aggregate (hedged USD). In other words, despite the unnerving headlines so far this year, a globally balanced portfolio comprised of both stocks and bonds is now </w:t>
      </w:r>
      <w:r>
        <w:rPr>
          <w:rFonts w:ascii="AvenirNext LT Pro Regular" w:hAnsi="AvenirNext LT Pro Regular" w:cs="Tahoma"/>
          <w:sz w:val="20"/>
          <w:szCs w:val="20"/>
        </w:rPr>
        <w:t>trailing</w:t>
      </w:r>
      <w:r w:rsidRPr="00781CF5">
        <w:rPr>
          <w:rFonts w:ascii="AvenirNext LT Pro Regular" w:hAnsi="AvenirNext LT Pro Regular" w:cs="Tahoma"/>
          <w:sz w:val="20"/>
          <w:szCs w:val="20"/>
        </w:rPr>
        <w:t xml:space="preserve"> the S&amp;P 500 by </w:t>
      </w:r>
      <w:r>
        <w:rPr>
          <w:rFonts w:ascii="AvenirNext LT Pro Regular" w:hAnsi="AvenirNext LT Pro Regular" w:cs="Tahoma"/>
          <w:sz w:val="20"/>
          <w:szCs w:val="20"/>
        </w:rPr>
        <w:t>2.2</w:t>
      </w:r>
      <w:r w:rsidRPr="00781CF5">
        <w:rPr>
          <w:rFonts w:ascii="AvenirNext LT Pro Regular" w:hAnsi="AvenirNext LT Pro Regular" w:cs="Tahoma"/>
          <w:sz w:val="20"/>
          <w:szCs w:val="20"/>
        </w:rPr>
        <w:t>% YTD.</w:t>
      </w:r>
    </w:p>
    <w:p w14:paraId="2868A023" w14:textId="77777777" w:rsidR="00C418BA" w:rsidRDefault="00C418BA" w:rsidP="00C418BA">
      <w:pPr>
        <w:jc w:val="both"/>
        <w:rPr>
          <w:rFonts w:ascii="AvenirNext LT Pro Regular" w:hAnsi="AvenirNext LT Pro Regular" w:cs="Tahoma"/>
          <w:sz w:val="20"/>
          <w:szCs w:val="20"/>
        </w:rPr>
      </w:pPr>
    </w:p>
    <w:p w14:paraId="50D42A51" w14:textId="77777777" w:rsidR="00C418BA" w:rsidRDefault="00C418BA" w:rsidP="00C418BA">
      <w:pPr>
        <w:jc w:val="both"/>
        <w:rPr>
          <w:rFonts w:ascii="AvenirNext LT Pro Regular" w:hAnsi="AvenirNext LT Pro Regular" w:cs="Tahoma"/>
          <w:b/>
          <w:sz w:val="20"/>
          <w:szCs w:val="20"/>
          <w:u w:val="single"/>
        </w:rPr>
      </w:pPr>
      <w:r>
        <w:rPr>
          <w:rFonts w:ascii="AvenirNext LT Pro Regular" w:hAnsi="AvenirNext LT Pro Regular" w:cs="Tahoma"/>
          <w:b/>
          <w:sz w:val="20"/>
          <w:szCs w:val="20"/>
          <w:u w:val="single"/>
        </w:rPr>
        <w:t>Economic growth with a twist</w:t>
      </w:r>
    </w:p>
    <w:p w14:paraId="766849D4" w14:textId="77777777" w:rsidR="00C418BA" w:rsidRDefault="00C418BA" w:rsidP="00C418BA">
      <w:pPr>
        <w:jc w:val="both"/>
        <w:rPr>
          <w:rFonts w:ascii="AvenirNext LT Pro Regular" w:hAnsi="AvenirNext LT Pro Regular" w:cs="Tahoma"/>
          <w:b/>
          <w:sz w:val="20"/>
          <w:szCs w:val="20"/>
          <w:u w:val="single"/>
        </w:rPr>
      </w:pPr>
    </w:p>
    <w:p w14:paraId="19E53325" w14:textId="77777777" w:rsidR="00C418BA" w:rsidRPr="006D0FE1" w:rsidRDefault="00C418BA" w:rsidP="00C418BA">
      <w:pPr>
        <w:pStyle w:val="ListParagraph"/>
        <w:numPr>
          <w:ilvl w:val="0"/>
          <w:numId w:val="21"/>
        </w:numPr>
        <w:jc w:val="both"/>
        <w:rPr>
          <w:rFonts w:ascii="AvenirNext LT Pro Regular" w:hAnsi="AvenirNext LT Pro Regular" w:cs="Tahoma"/>
          <w:bCs/>
          <w:sz w:val="20"/>
          <w:szCs w:val="20"/>
        </w:rPr>
      </w:pPr>
      <w:r>
        <w:rPr>
          <w:rFonts w:ascii="AvenirNext LT Pro Regular" w:hAnsi="AvenirNext LT Pro Regular" w:cs="Tahoma"/>
          <w:bCs/>
          <w:sz w:val="20"/>
          <w:szCs w:val="20"/>
        </w:rPr>
        <w:t>Real GDP grew at an annual rate of 3.8% in Q2 with similar growth expected in Q3.</w:t>
      </w:r>
    </w:p>
    <w:p w14:paraId="08E7BFED" w14:textId="77777777" w:rsidR="00C418BA" w:rsidRPr="00B67F66" w:rsidRDefault="00C418BA" w:rsidP="00C418BA">
      <w:pPr>
        <w:pStyle w:val="ListParagraph"/>
        <w:numPr>
          <w:ilvl w:val="0"/>
          <w:numId w:val="21"/>
        </w:numPr>
        <w:jc w:val="both"/>
        <w:rPr>
          <w:rFonts w:ascii="AvenirNext LT Pro Regular" w:hAnsi="AvenirNext LT Pro Regular" w:cs="Tahoma"/>
          <w:b/>
          <w:sz w:val="20"/>
          <w:szCs w:val="20"/>
          <w:u w:val="single"/>
        </w:rPr>
      </w:pPr>
      <w:r>
        <w:rPr>
          <w:rFonts w:ascii="AvenirNext LT Pro Regular" w:hAnsi="AvenirNext LT Pro Regular" w:cs="Tahoma"/>
          <w:bCs/>
          <w:sz w:val="20"/>
          <w:szCs w:val="20"/>
        </w:rPr>
        <w:t>Labor markets show signs of softening as 911,000 fewer jobs were added to the economy than first thought.</w:t>
      </w:r>
    </w:p>
    <w:p w14:paraId="3DBAA464" w14:textId="77777777" w:rsidR="00C418BA" w:rsidRPr="00406DF1" w:rsidRDefault="00C418BA" w:rsidP="00C418BA">
      <w:pPr>
        <w:pStyle w:val="ListParagraph"/>
        <w:jc w:val="both"/>
        <w:rPr>
          <w:rFonts w:ascii="AvenirNext LT Pro Regular" w:hAnsi="AvenirNext LT Pro Regular" w:cs="Tahoma"/>
          <w:b/>
          <w:sz w:val="20"/>
          <w:szCs w:val="20"/>
          <w:u w:val="single"/>
        </w:rPr>
      </w:pPr>
    </w:p>
    <w:p w14:paraId="3C415A22" w14:textId="77777777" w:rsidR="00C418BA" w:rsidRDefault="00C418BA" w:rsidP="00C418BA">
      <w:pPr>
        <w:jc w:val="both"/>
        <w:rPr>
          <w:rFonts w:ascii="AvenirNext LT Pro Regular" w:hAnsi="AvenirNext LT Pro Regular" w:cs="Tahoma"/>
          <w:sz w:val="20"/>
          <w:szCs w:val="20"/>
        </w:rPr>
      </w:pPr>
      <w:r w:rsidRPr="002218CB">
        <w:rPr>
          <w:rFonts w:ascii="AvenirNext LT Pro Regular" w:hAnsi="AvenirNext LT Pro Regular" w:cs="Tahoma"/>
          <w:sz w:val="20"/>
          <w:szCs w:val="20"/>
        </w:rPr>
        <w:t xml:space="preserve">So far this year, predictions of a recession in the U.S. stemming from the sweeping tariff policies first proposed in April have yet to drag </w:t>
      </w:r>
      <w:r>
        <w:rPr>
          <w:rFonts w:ascii="AvenirNext LT Pro Regular" w:hAnsi="AvenirNext LT Pro Regular" w:cs="Tahoma"/>
          <w:sz w:val="20"/>
          <w:szCs w:val="20"/>
        </w:rPr>
        <w:t>the</w:t>
      </w:r>
      <w:r w:rsidRPr="002218CB">
        <w:rPr>
          <w:rFonts w:ascii="AvenirNext LT Pro Regular" w:hAnsi="AvenirNext LT Pro Regular" w:cs="Tahoma"/>
          <w:sz w:val="20"/>
          <w:szCs w:val="20"/>
        </w:rPr>
        <w:t xml:space="preserve"> U.S. economy down. </w:t>
      </w:r>
    </w:p>
    <w:p w14:paraId="322BA0F8" w14:textId="77777777" w:rsidR="00C418BA" w:rsidRDefault="00C418BA" w:rsidP="00C418BA">
      <w:pPr>
        <w:jc w:val="both"/>
        <w:rPr>
          <w:rFonts w:ascii="AvenirNext LT Pro Regular" w:hAnsi="AvenirNext LT Pro Regular" w:cs="Tahoma"/>
          <w:sz w:val="20"/>
          <w:szCs w:val="20"/>
        </w:rPr>
      </w:pPr>
    </w:p>
    <w:p w14:paraId="4ECB2308" w14:textId="1DAC30BC" w:rsidR="00C418BA" w:rsidRDefault="00C418BA" w:rsidP="00C418BA">
      <w:pPr>
        <w:jc w:val="both"/>
        <w:rPr>
          <w:rFonts w:ascii="AvenirNext LT Pro Regular" w:hAnsi="AvenirNext LT Pro Regular" w:cs="Tahoma"/>
          <w:sz w:val="20"/>
          <w:szCs w:val="20"/>
        </w:rPr>
      </w:pPr>
      <w:r w:rsidRPr="002218CB">
        <w:rPr>
          <w:rFonts w:ascii="AvenirNext LT Pro Regular" w:hAnsi="AvenirNext LT Pro Regular" w:cs="Tahoma"/>
          <w:sz w:val="20"/>
          <w:szCs w:val="20"/>
        </w:rPr>
        <w:t xml:space="preserve">In fact, the latest reading for real GDP growth (or the inflation-adjusted value for all goods and services produced in the U.S.) came in at a 3.8% annualized rate in the second quarter. And for now, that trend is expected to continue based on the Atlanta Fed’s </w:t>
      </w:r>
      <w:proofErr w:type="gramStart"/>
      <w:r w:rsidRPr="002218CB">
        <w:rPr>
          <w:rFonts w:ascii="AvenirNext LT Pro Regular" w:hAnsi="AvenirNext LT Pro Regular" w:cs="Tahoma"/>
          <w:sz w:val="20"/>
          <w:szCs w:val="20"/>
        </w:rPr>
        <w:t>GDP Now</w:t>
      </w:r>
      <w:proofErr w:type="gramEnd"/>
      <w:r w:rsidRPr="002218CB">
        <w:rPr>
          <w:rFonts w:ascii="AvenirNext LT Pro Regular" w:hAnsi="AvenirNext LT Pro Regular" w:cs="Tahoma"/>
          <w:sz w:val="20"/>
          <w:szCs w:val="20"/>
        </w:rPr>
        <w:t xml:space="preserve"> model forecasting 3.8% growth for the third quarter. </w:t>
      </w:r>
    </w:p>
    <w:p w14:paraId="620BDB0C" w14:textId="77777777" w:rsidR="00C418BA" w:rsidRDefault="00C418BA" w:rsidP="00C418BA">
      <w:pPr>
        <w:jc w:val="both"/>
        <w:rPr>
          <w:rFonts w:ascii="AvenirNext LT Pro Regular" w:hAnsi="AvenirNext LT Pro Regular" w:cs="Tahoma"/>
          <w:sz w:val="20"/>
          <w:szCs w:val="20"/>
        </w:rPr>
      </w:pPr>
    </w:p>
    <w:p w14:paraId="7BDF3FD6" w14:textId="77777777" w:rsidR="00C418BA" w:rsidRDefault="00C418BA" w:rsidP="00C418BA">
      <w:pPr>
        <w:jc w:val="both"/>
        <w:rPr>
          <w:rFonts w:ascii="AvenirNext LT Pro Regular" w:hAnsi="AvenirNext LT Pro Regular" w:cs="Tahoma"/>
          <w:sz w:val="20"/>
          <w:szCs w:val="20"/>
        </w:rPr>
      </w:pPr>
      <w:r w:rsidRPr="002218CB">
        <w:rPr>
          <w:rFonts w:ascii="AvenirNext LT Pro Regular" w:hAnsi="AvenirNext LT Pro Regular" w:cs="Tahoma"/>
          <w:sz w:val="20"/>
          <w:szCs w:val="20"/>
        </w:rPr>
        <w:t xml:space="preserve">And while there are many nuances to these statistics, the latest GDP reading shows a large contribution came from 4.8% due to net exports, meaning the country sold more goods and services abroad than it bought. We also </w:t>
      </w:r>
      <w:r>
        <w:rPr>
          <w:rFonts w:ascii="AvenirNext LT Pro Regular" w:hAnsi="AvenirNext LT Pro Regular" w:cs="Tahoma"/>
          <w:sz w:val="20"/>
          <w:szCs w:val="20"/>
        </w:rPr>
        <w:t>saw</w:t>
      </w:r>
      <w:r w:rsidRPr="002218CB">
        <w:rPr>
          <w:rFonts w:ascii="AvenirNext LT Pro Regular" w:hAnsi="AvenirNext LT Pro Regular" w:cs="Tahoma"/>
          <w:sz w:val="20"/>
          <w:szCs w:val="20"/>
        </w:rPr>
        <w:t xml:space="preserve"> a 3.4% reduction in private company inventories, which means that companies have been selling their products faster than they have been making them. </w:t>
      </w:r>
    </w:p>
    <w:p w14:paraId="3EA0E4D6" w14:textId="77777777" w:rsidR="00C418BA" w:rsidRDefault="00C418BA" w:rsidP="00C418BA">
      <w:pPr>
        <w:jc w:val="both"/>
        <w:rPr>
          <w:rFonts w:ascii="AvenirNext LT Pro Regular" w:hAnsi="AvenirNext LT Pro Regular" w:cs="Tahoma"/>
          <w:sz w:val="20"/>
          <w:szCs w:val="20"/>
        </w:rPr>
      </w:pPr>
    </w:p>
    <w:p w14:paraId="3D77B564" w14:textId="77777777" w:rsidR="00C418BA" w:rsidRDefault="00C418BA" w:rsidP="00C418BA">
      <w:pPr>
        <w:jc w:val="both"/>
        <w:rPr>
          <w:rFonts w:ascii="AvenirNext LT Pro Regular" w:hAnsi="AvenirNext LT Pro Regular" w:cs="Tahoma"/>
          <w:sz w:val="20"/>
          <w:szCs w:val="20"/>
        </w:rPr>
      </w:pPr>
      <w:r w:rsidRPr="002218CB">
        <w:rPr>
          <w:rFonts w:ascii="AvenirNext LT Pro Regular" w:hAnsi="AvenirNext LT Pro Regular" w:cs="Tahoma"/>
          <w:sz w:val="20"/>
          <w:szCs w:val="20"/>
        </w:rPr>
        <w:t xml:space="preserve">Together, these data points might imply that companies and consumers are producing and consuming more domestically compared to history and that the stockpile of cheaper, pre-Liberation Day inventories are being </w:t>
      </w:r>
      <w:r w:rsidRPr="002218CB">
        <w:rPr>
          <w:rFonts w:ascii="AvenirNext LT Pro Regular" w:hAnsi="AvenirNext LT Pro Regular" w:cs="Tahoma"/>
          <w:sz w:val="20"/>
          <w:szCs w:val="20"/>
        </w:rPr>
        <w:t xml:space="preserve">depleted. While our crystal ball remains cloudy, when these inventories </w:t>
      </w:r>
      <w:r>
        <w:rPr>
          <w:rFonts w:ascii="AvenirNext LT Pro Regular" w:hAnsi="AvenirNext LT Pro Regular" w:cs="Tahoma"/>
          <w:sz w:val="20"/>
          <w:szCs w:val="20"/>
        </w:rPr>
        <w:t>run too low</w:t>
      </w:r>
      <w:r w:rsidRPr="002218CB">
        <w:rPr>
          <w:rFonts w:ascii="AvenirNext LT Pro Regular" w:hAnsi="AvenirNext LT Pro Regular" w:cs="Tahoma"/>
          <w:sz w:val="20"/>
          <w:szCs w:val="20"/>
        </w:rPr>
        <w:t xml:space="preserve"> and if companies choose to pass on the increased costs to consumers, it’s not unreasonable to expect that inflation might reignite and consumer demand will decrease, negatively impacting economic growth.  </w:t>
      </w:r>
    </w:p>
    <w:p w14:paraId="34769A64" w14:textId="77777777" w:rsidR="00C418BA" w:rsidRDefault="00C418BA" w:rsidP="00C418BA">
      <w:pPr>
        <w:jc w:val="both"/>
        <w:rPr>
          <w:rFonts w:ascii="AvenirNext LT Pro Regular" w:hAnsi="AvenirNext LT Pro Regular" w:cs="Tahoma"/>
          <w:sz w:val="20"/>
          <w:szCs w:val="20"/>
        </w:rPr>
      </w:pPr>
    </w:p>
    <w:p w14:paraId="450DB8BB"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 xml:space="preserve">Nevertheless, the U.S. economy picked up steam so far this year but with curious developments in the labor market. </w:t>
      </w:r>
      <w:r w:rsidRPr="00706700">
        <w:rPr>
          <w:rFonts w:ascii="AvenirNext LT Pro Regular" w:hAnsi="AvenirNext LT Pro Regular" w:cs="Tahoma"/>
          <w:sz w:val="20"/>
          <w:szCs w:val="20"/>
        </w:rPr>
        <w:t>Last quarter brought significant downward revisions to prior months’ job gains, meaning that the labor market is considerably weaker now than it was entering the summer and that companies hired far less than expected</w:t>
      </w:r>
      <w:r>
        <w:rPr>
          <w:rFonts w:ascii="AvenirNext LT Pro Regular" w:hAnsi="AvenirNext LT Pro Regular" w:cs="Tahoma"/>
          <w:sz w:val="20"/>
          <w:szCs w:val="20"/>
        </w:rPr>
        <w:t xml:space="preserve">. </w:t>
      </w:r>
    </w:p>
    <w:p w14:paraId="3A74C5EF" w14:textId="77777777" w:rsidR="00C418BA" w:rsidRDefault="00C418BA" w:rsidP="00C418BA">
      <w:pPr>
        <w:jc w:val="both"/>
        <w:rPr>
          <w:rFonts w:ascii="AvenirNext LT Pro Regular" w:hAnsi="AvenirNext LT Pro Regular" w:cs="Tahoma"/>
          <w:sz w:val="20"/>
          <w:szCs w:val="20"/>
        </w:rPr>
      </w:pPr>
    </w:p>
    <w:p w14:paraId="2CDA4029"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According to the Bureau of Labor Statistics, the economy added 911,000 fewer jobs during the 12 months ending in March 2025 than was previously thought. These sorts of revisions, referred to as “benchmark” revisions, are not uncommon, but the size of this downward revision was the largest since 2002.</w:t>
      </w:r>
      <w:r w:rsidRPr="00706700">
        <w:rPr>
          <w:rFonts w:ascii="AvenirNext LT Pro Regular" w:hAnsi="AvenirNext LT Pro Regular" w:cs="Tahoma"/>
          <w:sz w:val="20"/>
          <w:szCs w:val="20"/>
        </w:rPr>
        <w:t xml:space="preserve"> The latest reading for unemployment ticked up 0.2% compared to last quarter but </w:t>
      </w:r>
      <w:proofErr w:type="gramStart"/>
      <w:r w:rsidRPr="00706700">
        <w:rPr>
          <w:rFonts w:ascii="AvenirNext LT Pro Regular" w:hAnsi="AvenirNext LT Pro Regular" w:cs="Tahoma"/>
          <w:sz w:val="20"/>
          <w:szCs w:val="20"/>
        </w:rPr>
        <w:t>remains</w:t>
      </w:r>
      <w:proofErr w:type="gramEnd"/>
      <w:r w:rsidRPr="00706700">
        <w:rPr>
          <w:rFonts w:ascii="AvenirNext LT Pro Regular" w:hAnsi="AvenirNext LT Pro Regular" w:cs="Tahoma"/>
          <w:sz w:val="20"/>
          <w:szCs w:val="20"/>
        </w:rPr>
        <w:t xml:space="preserve"> very low at 4.3% compared to historical standards. </w:t>
      </w:r>
    </w:p>
    <w:p w14:paraId="4BDC32AB" w14:textId="77777777" w:rsidR="00C418BA" w:rsidRDefault="00C418BA" w:rsidP="00C418BA">
      <w:pPr>
        <w:jc w:val="both"/>
        <w:rPr>
          <w:rFonts w:ascii="AvenirNext LT Pro Regular" w:hAnsi="AvenirNext LT Pro Regular" w:cs="Tahoma"/>
          <w:sz w:val="20"/>
          <w:szCs w:val="20"/>
        </w:rPr>
      </w:pPr>
    </w:p>
    <w:p w14:paraId="5990B8CA" w14:textId="77777777" w:rsidR="00C418BA" w:rsidRDefault="00C418BA" w:rsidP="00C418BA">
      <w:pPr>
        <w:jc w:val="both"/>
        <w:rPr>
          <w:rFonts w:ascii="AvenirNext LT Pro Regular" w:hAnsi="AvenirNext LT Pro Regular" w:cs="Tahoma"/>
          <w:sz w:val="20"/>
          <w:szCs w:val="20"/>
        </w:rPr>
      </w:pPr>
      <w:r w:rsidRPr="00706700">
        <w:rPr>
          <w:rFonts w:ascii="AvenirNext LT Pro Regular" w:hAnsi="AvenirNext LT Pro Regular" w:cs="Tahoma"/>
          <w:sz w:val="20"/>
          <w:szCs w:val="20"/>
        </w:rPr>
        <w:t xml:space="preserve">This reduction of labor </w:t>
      </w:r>
      <w:r>
        <w:rPr>
          <w:rFonts w:ascii="AvenirNext LT Pro Regular" w:hAnsi="AvenirNext LT Pro Regular" w:cs="Tahoma"/>
          <w:sz w:val="20"/>
          <w:szCs w:val="20"/>
        </w:rPr>
        <w:t>as companies roll back their job postings</w:t>
      </w:r>
      <w:r w:rsidRPr="00706700">
        <w:rPr>
          <w:rFonts w:ascii="AvenirNext LT Pro Regular" w:hAnsi="AvenirNext LT Pro Regular" w:cs="Tahoma"/>
          <w:sz w:val="20"/>
          <w:szCs w:val="20"/>
        </w:rPr>
        <w:t xml:space="preserve"> has been met with a reduction in labor supply through lower immigration, fewer workers voluntarily quitting their jobs, and companies less inclined to lay off workers. Together this suggests that U.S. companies are in a “no hire, no fire” stance as they are waiting for more economic clarity.  </w:t>
      </w:r>
    </w:p>
    <w:p w14:paraId="200E0217" w14:textId="77777777" w:rsidR="00C418BA" w:rsidRDefault="00C418BA" w:rsidP="00C418BA">
      <w:pPr>
        <w:jc w:val="both"/>
        <w:rPr>
          <w:rFonts w:ascii="AvenirNext LT Pro Regular" w:hAnsi="AvenirNext LT Pro Regular" w:cs="Tahoma"/>
          <w:sz w:val="20"/>
          <w:szCs w:val="20"/>
        </w:rPr>
      </w:pPr>
    </w:p>
    <w:p w14:paraId="5472E4A0" w14:textId="77777777" w:rsidR="00C418BA" w:rsidRPr="0042427E" w:rsidRDefault="00C418BA" w:rsidP="00C418BA">
      <w:pPr>
        <w:jc w:val="both"/>
        <w:rPr>
          <w:rFonts w:ascii="AvenirNext LT Pro Regular" w:hAnsi="AvenirNext LT Pro Regular" w:cs="Tahoma"/>
          <w:b/>
          <w:sz w:val="20"/>
          <w:szCs w:val="20"/>
          <w:u w:val="single"/>
        </w:rPr>
      </w:pPr>
      <w:r>
        <w:rPr>
          <w:rFonts w:ascii="AvenirNext LT Pro Regular" w:hAnsi="AvenirNext LT Pro Regular" w:cs="Tahoma"/>
          <w:b/>
          <w:sz w:val="20"/>
          <w:szCs w:val="20"/>
          <w:u w:val="single"/>
        </w:rPr>
        <w:t>Can the Fed maintain balance?</w:t>
      </w:r>
    </w:p>
    <w:p w14:paraId="56B9B7C6" w14:textId="77777777" w:rsidR="00C418BA" w:rsidRPr="00452CCF" w:rsidRDefault="00C418BA" w:rsidP="00C418BA">
      <w:pPr>
        <w:jc w:val="both"/>
        <w:rPr>
          <w:rFonts w:ascii="AvenirNext LT Pro Regular" w:hAnsi="AvenirNext LT Pro Regular" w:cs="Tahoma"/>
          <w:b/>
          <w:sz w:val="20"/>
          <w:szCs w:val="20"/>
          <w:u w:val="single"/>
        </w:rPr>
      </w:pPr>
    </w:p>
    <w:p w14:paraId="2DCC051E" w14:textId="77777777" w:rsidR="00C418BA" w:rsidRDefault="00C418BA" w:rsidP="00C418BA">
      <w:pPr>
        <w:jc w:val="both"/>
        <w:rPr>
          <w:rFonts w:ascii="AvenirNext LT Pro Regular" w:hAnsi="AvenirNext LT Pro Regular" w:cs="Tahoma"/>
          <w:sz w:val="20"/>
          <w:szCs w:val="20"/>
        </w:rPr>
      </w:pPr>
      <w:r w:rsidRPr="007C6CF9">
        <w:rPr>
          <w:rFonts w:ascii="AvenirNext LT Pro Regular" w:hAnsi="AvenirNext LT Pro Regular" w:cs="Tahoma"/>
          <w:sz w:val="20"/>
          <w:szCs w:val="20"/>
        </w:rPr>
        <w:t xml:space="preserve">The Federal Open Market Committee, which is the </w:t>
      </w:r>
      <w:r>
        <w:rPr>
          <w:rFonts w:ascii="AvenirNext LT Pro Regular" w:hAnsi="AvenirNext LT Pro Regular" w:cs="Tahoma"/>
          <w:sz w:val="20"/>
          <w:szCs w:val="20"/>
        </w:rPr>
        <w:t>Federal Reserve’s</w:t>
      </w:r>
      <w:r w:rsidRPr="007C6CF9">
        <w:rPr>
          <w:rFonts w:ascii="AvenirNext LT Pro Regular" w:hAnsi="AvenirNext LT Pro Regular" w:cs="Tahoma"/>
          <w:sz w:val="20"/>
          <w:szCs w:val="20"/>
        </w:rPr>
        <w:t xml:space="preserve"> rate setting body, lowered the Fed Funds rate for the first time this year by a quarter percent bringing the new Federal Funds Rate policy range to between 4.00% and 4.25%. And markets now widely expect another two rate reductions by the end of the year. However, the Fed’s preferred inflation gauge (the Core Personal Consumption Expenditures index) has been particularly stubborn in reaching the Fed’s long-term goal of 2%. In fact, it ticked up slightly during the last quarter to 2.9%. </w:t>
      </w:r>
    </w:p>
    <w:p w14:paraId="06ED0FBE" w14:textId="77777777" w:rsidR="00C418BA" w:rsidRDefault="00C418BA" w:rsidP="00C418BA">
      <w:pPr>
        <w:jc w:val="both"/>
        <w:rPr>
          <w:rFonts w:ascii="AvenirNext LT Pro Regular" w:hAnsi="AvenirNext LT Pro Regular" w:cs="Tahoma"/>
          <w:sz w:val="20"/>
          <w:szCs w:val="20"/>
        </w:rPr>
      </w:pPr>
    </w:p>
    <w:p w14:paraId="4F819635" w14:textId="77777777" w:rsidR="00C418BA" w:rsidRDefault="00C418BA" w:rsidP="00C418BA">
      <w:pPr>
        <w:jc w:val="both"/>
        <w:rPr>
          <w:rFonts w:ascii="AvenirNext LT Pro Regular" w:hAnsi="AvenirNext LT Pro Regular" w:cs="Tahoma"/>
          <w:sz w:val="20"/>
          <w:szCs w:val="20"/>
        </w:rPr>
      </w:pPr>
      <w:r w:rsidRPr="007C6CF9">
        <w:rPr>
          <w:rFonts w:ascii="AvenirNext LT Pro Regular" w:hAnsi="AvenirNext LT Pro Regular" w:cs="Tahoma"/>
          <w:sz w:val="20"/>
          <w:szCs w:val="20"/>
        </w:rPr>
        <w:t xml:space="preserve">Meanwhile, the Fed cited a weakening labor market as reason to resume cutting rates. This highlights the difficult situation that the Fed continues to find itself in. They can reduce short-term rates to support the labor market, but how far will they be willing to go while attempting to conquer inflation, especially as lower rates can lead to more growth and possibly more inflation? Markets will </w:t>
      </w:r>
      <w:r w:rsidRPr="007C6CF9">
        <w:rPr>
          <w:rFonts w:ascii="AvenirNext LT Pro Regular" w:hAnsi="AvenirNext LT Pro Regular" w:cs="Tahoma"/>
          <w:sz w:val="20"/>
          <w:szCs w:val="20"/>
        </w:rPr>
        <w:lastRenderedPageBreak/>
        <w:t>continue to pay close attention to both what the Fed does and what it says between meetings.</w:t>
      </w:r>
    </w:p>
    <w:p w14:paraId="396C5335" w14:textId="77777777" w:rsidR="00C418BA" w:rsidRDefault="00C418BA" w:rsidP="00C418BA">
      <w:pPr>
        <w:jc w:val="both"/>
        <w:rPr>
          <w:rFonts w:ascii="AvenirNext LT Pro Regular" w:hAnsi="AvenirNext LT Pro Regular" w:cs="Tahoma"/>
          <w:sz w:val="20"/>
          <w:szCs w:val="20"/>
        </w:rPr>
      </w:pPr>
    </w:p>
    <w:p w14:paraId="0BC0FDEF" w14:textId="77777777" w:rsidR="00C418BA" w:rsidRDefault="00C418BA" w:rsidP="00C418BA">
      <w:pPr>
        <w:jc w:val="both"/>
        <w:rPr>
          <w:rFonts w:ascii="AvenirNext LT Pro Regular" w:hAnsi="AvenirNext LT Pro Regular" w:cs="Tahoma"/>
          <w:bCs/>
          <w:sz w:val="20"/>
          <w:szCs w:val="20"/>
        </w:rPr>
      </w:pPr>
      <w:r>
        <w:rPr>
          <w:rFonts w:ascii="AvenirNext LT Pro Regular" w:hAnsi="AvenirNext LT Pro Regular" w:cs="Tahoma"/>
          <w:b/>
          <w:sz w:val="20"/>
          <w:szCs w:val="20"/>
          <w:u w:val="single"/>
        </w:rPr>
        <w:t xml:space="preserve">Fed action and market </w:t>
      </w:r>
      <w:proofErr w:type="gramStart"/>
      <w:r>
        <w:rPr>
          <w:rFonts w:ascii="AvenirNext LT Pro Regular" w:hAnsi="AvenirNext LT Pro Regular" w:cs="Tahoma"/>
          <w:b/>
          <w:sz w:val="20"/>
          <w:szCs w:val="20"/>
          <w:u w:val="single"/>
        </w:rPr>
        <w:t>moves</w:t>
      </w:r>
      <w:proofErr w:type="gramEnd"/>
    </w:p>
    <w:p w14:paraId="05DA7FF6" w14:textId="77777777" w:rsidR="00C418BA" w:rsidRDefault="00C418BA" w:rsidP="00C418BA">
      <w:pPr>
        <w:jc w:val="both"/>
        <w:rPr>
          <w:rFonts w:ascii="AvenirNext LT Pro Regular" w:hAnsi="AvenirNext LT Pro Regular" w:cs="Tahoma"/>
          <w:bCs/>
          <w:sz w:val="20"/>
          <w:szCs w:val="20"/>
        </w:rPr>
      </w:pPr>
    </w:p>
    <w:p w14:paraId="2A6BB472" w14:textId="77777777" w:rsidR="00C418BA" w:rsidRDefault="00C418BA" w:rsidP="00C418BA">
      <w:pPr>
        <w:jc w:val="both"/>
        <w:rPr>
          <w:rFonts w:ascii="AvenirNext LT Pro Regular" w:hAnsi="AvenirNext LT Pro Regular" w:cs="Tahoma"/>
          <w:bCs/>
          <w:sz w:val="20"/>
          <w:szCs w:val="20"/>
        </w:rPr>
      </w:pPr>
      <w:r>
        <w:rPr>
          <w:rFonts w:ascii="AvenirNext LT Pro Regular" w:hAnsi="AvenirNext LT Pro Regular" w:cs="Tahoma"/>
          <w:bCs/>
          <w:sz w:val="20"/>
          <w:szCs w:val="20"/>
        </w:rPr>
        <w:t>I</w:t>
      </w:r>
      <w:r w:rsidRPr="005809E2">
        <w:rPr>
          <w:rFonts w:ascii="AvenirNext LT Pro Regular" w:hAnsi="AvenirNext LT Pro Regular" w:cs="Tahoma"/>
          <w:bCs/>
          <w:sz w:val="20"/>
          <w:szCs w:val="20"/>
        </w:rPr>
        <w:t>t</w:t>
      </w:r>
      <w:r>
        <w:rPr>
          <w:rFonts w:ascii="AvenirNext LT Pro Regular" w:hAnsi="AvenirNext LT Pro Regular" w:cs="Tahoma"/>
          <w:bCs/>
          <w:sz w:val="20"/>
          <w:szCs w:val="20"/>
        </w:rPr>
        <w:t xml:space="preserve"> i</w:t>
      </w:r>
      <w:r w:rsidRPr="005809E2">
        <w:rPr>
          <w:rFonts w:ascii="AvenirNext LT Pro Regular" w:hAnsi="AvenirNext LT Pro Regular" w:cs="Tahoma"/>
          <w:bCs/>
          <w:sz w:val="20"/>
          <w:szCs w:val="20"/>
        </w:rPr>
        <w:t xml:space="preserve">s reasonable to ask how Fed interest rate decisions, which directly influence ultra-short maturities, impact the entirety of the U.S. government yield curve and other interest rates. </w:t>
      </w:r>
    </w:p>
    <w:p w14:paraId="00F6361C" w14:textId="77777777" w:rsidR="00C418BA" w:rsidRDefault="00C418BA" w:rsidP="00C418BA">
      <w:pPr>
        <w:jc w:val="both"/>
        <w:rPr>
          <w:rFonts w:ascii="AvenirNext LT Pro Regular" w:hAnsi="AvenirNext LT Pro Regular" w:cs="Tahoma"/>
          <w:bCs/>
          <w:sz w:val="20"/>
          <w:szCs w:val="20"/>
        </w:rPr>
      </w:pPr>
    </w:p>
    <w:p w14:paraId="00868899" w14:textId="77777777" w:rsidR="00C418BA" w:rsidRDefault="00C418BA" w:rsidP="00C418BA">
      <w:pPr>
        <w:jc w:val="both"/>
        <w:rPr>
          <w:rFonts w:ascii="AvenirNext LT Pro Regular" w:hAnsi="AvenirNext LT Pro Regular" w:cs="Tahoma"/>
          <w:bCs/>
          <w:sz w:val="20"/>
          <w:szCs w:val="20"/>
        </w:rPr>
      </w:pPr>
      <w:r w:rsidRPr="005809E2">
        <w:rPr>
          <w:rFonts w:ascii="AvenirNext LT Pro Regular" w:hAnsi="AvenirNext LT Pro Regular" w:cs="Tahoma"/>
          <w:bCs/>
          <w:sz w:val="20"/>
          <w:szCs w:val="20"/>
        </w:rPr>
        <w:t xml:space="preserve">As depicted in </w:t>
      </w:r>
      <w:r>
        <w:rPr>
          <w:rFonts w:ascii="AvenirNext LT Pro Regular" w:hAnsi="AvenirNext LT Pro Regular" w:cs="Tahoma"/>
          <w:bCs/>
          <w:sz w:val="20"/>
          <w:szCs w:val="20"/>
        </w:rPr>
        <w:t>Exhibit 1</w:t>
      </w:r>
      <w:r w:rsidRPr="005809E2">
        <w:rPr>
          <w:rFonts w:ascii="AvenirNext LT Pro Regular" w:hAnsi="AvenirNext LT Pro Regular" w:cs="Tahoma"/>
          <w:bCs/>
          <w:sz w:val="20"/>
          <w:szCs w:val="20"/>
        </w:rPr>
        <w:t xml:space="preserve">, dating back to the early 1980s, when the Fed moved the Federal Funds rate up or down, the 10-year </w:t>
      </w:r>
      <w:r>
        <w:rPr>
          <w:rFonts w:ascii="AvenirNext LT Pro Regular" w:hAnsi="AvenirNext LT Pro Regular" w:cs="Tahoma"/>
          <w:bCs/>
          <w:sz w:val="20"/>
          <w:szCs w:val="20"/>
        </w:rPr>
        <w:t>T</w:t>
      </w:r>
      <w:r w:rsidRPr="005809E2">
        <w:rPr>
          <w:rFonts w:ascii="AvenirNext LT Pro Regular" w:hAnsi="AvenirNext LT Pro Regular" w:cs="Tahoma"/>
          <w:bCs/>
          <w:sz w:val="20"/>
          <w:szCs w:val="20"/>
        </w:rPr>
        <w:t>reasury yield, which is a closely watched benchmark rate, moved in the same direction roughly 2/3 of the time. This is shown in the bottom-left and upper-right areas of the graphic. However, the 10-year yield moved in the opposite direction about 1/3 of the time. This is because longer-term yields, like the 10-year, tend to be more influenced by expectations for economic growth and inflation rather than short-term interest rate decisions. As a result, for example, if you are in the market for a mortgage</w:t>
      </w:r>
      <w:r>
        <w:rPr>
          <w:rFonts w:ascii="AvenirNext LT Pro Regular" w:hAnsi="AvenirNext LT Pro Regular" w:cs="Tahoma"/>
          <w:bCs/>
          <w:sz w:val="20"/>
          <w:szCs w:val="20"/>
        </w:rPr>
        <w:t>,</w:t>
      </w:r>
      <w:r w:rsidRPr="005809E2">
        <w:rPr>
          <w:rFonts w:ascii="AvenirNext LT Pro Regular" w:hAnsi="AvenirNext LT Pro Regular" w:cs="Tahoma"/>
          <w:bCs/>
          <w:sz w:val="20"/>
          <w:szCs w:val="20"/>
        </w:rPr>
        <w:t xml:space="preserve"> whose rates are loosely tied to the 10-year yield, it is not a forgone conclusion that mortgage rates will decline just because the Fed lowered rates. </w:t>
      </w:r>
    </w:p>
    <w:p w14:paraId="44330071" w14:textId="77777777" w:rsidR="00C418BA" w:rsidRDefault="00C418BA" w:rsidP="00C418BA">
      <w:pPr>
        <w:jc w:val="both"/>
        <w:rPr>
          <w:rFonts w:ascii="AvenirNext LT Pro Regular" w:hAnsi="AvenirNext LT Pro Regular" w:cs="Tahoma"/>
          <w:bCs/>
          <w:sz w:val="20"/>
          <w:szCs w:val="20"/>
        </w:rPr>
      </w:pPr>
    </w:p>
    <w:p w14:paraId="73A4D07D" w14:textId="77777777" w:rsidR="00C418BA" w:rsidRDefault="00C418BA" w:rsidP="00C418BA">
      <w:pPr>
        <w:jc w:val="both"/>
        <w:rPr>
          <w:rFonts w:ascii="AvenirNext LT Pro Regular" w:hAnsi="AvenirNext LT Pro Regular" w:cs="Tahoma"/>
          <w:bCs/>
          <w:sz w:val="20"/>
          <w:szCs w:val="20"/>
        </w:rPr>
      </w:pPr>
      <w:r>
        <w:rPr>
          <w:rFonts w:ascii="AvenirNext LT Pro Regular" w:hAnsi="AvenirNext LT Pro Regular" w:cs="Tahoma"/>
          <w:bCs/>
          <w:sz w:val="20"/>
          <w:szCs w:val="20"/>
        </w:rPr>
        <w:t>Exhibit 1</w:t>
      </w:r>
    </w:p>
    <w:p w14:paraId="14DF5069" w14:textId="77777777" w:rsidR="00C418BA" w:rsidRDefault="00C418BA" w:rsidP="00C418BA">
      <w:pPr>
        <w:jc w:val="both"/>
        <w:rPr>
          <w:rFonts w:ascii="AvenirNext LT Pro Regular" w:hAnsi="AvenirNext LT Pro Regular" w:cs="Tahoma"/>
          <w:bCs/>
          <w:sz w:val="20"/>
          <w:szCs w:val="20"/>
        </w:rPr>
      </w:pPr>
      <w:r w:rsidRPr="00E714F6">
        <w:rPr>
          <w:rFonts w:ascii="AvenirNext LT Pro Regular" w:hAnsi="AvenirNext LT Pro Regular" w:cs="Tahoma"/>
          <w:bCs/>
          <w:noProof/>
          <w:sz w:val="20"/>
          <w:szCs w:val="20"/>
        </w:rPr>
        <w:drawing>
          <wp:inline distT="0" distB="0" distL="0" distR="0" wp14:anchorId="19D88387" wp14:editId="223A9568">
            <wp:extent cx="2971800" cy="2132965"/>
            <wp:effectExtent l="0" t="0" r="0" b="635"/>
            <wp:docPr id="518202452" name="Picture 1" descr="A chart of a company's yie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202452" name="Picture 1" descr="A chart of a company's yield&#10;&#10;AI-generated content may be incorrect."/>
                    <pic:cNvPicPr/>
                  </pic:nvPicPr>
                  <pic:blipFill>
                    <a:blip r:embed="rId12"/>
                    <a:stretch>
                      <a:fillRect/>
                    </a:stretch>
                  </pic:blipFill>
                  <pic:spPr>
                    <a:xfrm>
                      <a:off x="0" y="0"/>
                      <a:ext cx="2971800" cy="2132965"/>
                    </a:xfrm>
                    <a:prstGeom prst="rect">
                      <a:avLst/>
                    </a:prstGeom>
                  </pic:spPr>
                </pic:pic>
              </a:graphicData>
            </a:graphic>
          </wp:inline>
        </w:drawing>
      </w:r>
    </w:p>
    <w:p w14:paraId="561C8F81" w14:textId="77777777" w:rsidR="00C418BA" w:rsidRDefault="00C418BA" w:rsidP="00C418BA">
      <w:pPr>
        <w:jc w:val="both"/>
        <w:rPr>
          <w:rFonts w:ascii="AvenirNext LT Pro Regular" w:hAnsi="AvenirNext LT Pro Regular" w:cs="Tahoma"/>
          <w:bCs/>
          <w:sz w:val="20"/>
          <w:szCs w:val="20"/>
        </w:rPr>
      </w:pPr>
    </w:p>
    <w:p w14:paraId="20BA2D05" w14:textId="77777777" w:rsidR="00C418BA" w:rsidRPr="00B83599" w:rsidRDefault="00C418BA" w:rsidP="00C418BA">
      <w:pPr>
        <w:jc w:val="both"/>
        <w:rPr>
          <w:rFonts w:ascii="AvenirNext LT Pro Regular" w:hAnsi="AvenirNext LT Pro Regular" w:cs="Tahoma"/>
          <w:sz w:val="12"/>
          <w:szCs w:val="12"/>
        </w:rPr>
      </w:pPr>
      <w:r w:rsidRPr="00B83599">
        <w:rPr>
          <w:rFonts w:ascii="AvenirNext LT Pro Regular" w:hAnsi="AvenirNext LT Pro Regular" w:cs="Tahoma"/>
          <w:sz w:val="12"/>
          <w:szCs w:val="12"/>
        </w:rPr>
        <w:t>Source: Dimensional Fund Advisors, Federal Reserve Economic Data (FRED) from the Federal Reserve Bank of St. Louis. Data series used: Market Yield on US Treasury Securities at 10-Year Constant Maturity, Quoted on an Investment Basis, Percent, Daily, Not Seasonally Adjusted (DGS10); Federal Funds Target Rate (DISCONTINUED), Percent, Daily, Not Seasonally Adjusted (DFEDTAR); and Federal Funds Target Range - Upper Limit, Percent, Daily, Not Seasonally Adjusted (DFEDTARU). Circles corresponding to a rate cut do not sum to 100% due to monthly periods of no yield change for the 10-Year US Treasury note.</w:t>
      </w:r>
    </w:p>
    <w:p w14:paraId="215DD489" w14:textId="77777777" w:rsidR="00C418BA" w:rsidRDefault="00C418BA" w:rsidP="00C418BA">
      <w:pPr>
        <w:jc w:val="both"/>
        <w:rPr>
          <w:rFonts w:ascii="AvenirNext LT Pro Regular" w:hAnsi="AvenirNext LT Pro Regular" w:cs="Tahoma"/>
          <w:bCs/>
          <w:sz w:val="20"/>
          <w:szCs w:val="20"/>
        </w:rPr>
      </w:pPr>
    </w:p>
    <w:p w14:paraId="27AF5CB2" w14:textId="77777777" w:rsidR="00C418BA" w:rsidRDefault="00C418BA" w:rsidP="00C418BA">
      <w:pPr>
        <w:jc w:val="both"/>
        <w:rPr>
          <w:rFonts w:ascii="AvenirNext LT Pro Regular" w:hAnsi="AvenirNext LT Pro Regular" w:cs="Tahoma"/>
          <w:bCs/>
          <w:sz w:val="20"/>
          <w:szCs w:val="20"/>
        </w:rPr>
      </w:pPr>
      <w:r w:rsidRPr="005809E2">
        <w:rPr>
          <w:rFonts w:ascii="AvenirNext LT Pro Regular" w:hAnsi="AvenirNext LT Pro Regular" w:cs="Tahoma"/>
          <w:bCs/>
          <w:sz w:val="20"/>
          <w:szCs w:val="20"/>
        </w:rPr>
        <w:t>Ultimately, this graphic shows that the Fed does not have direct control over longer-maturity interest rates and that the Federal Funds rate is not a reliable predictor of where longer-term interest rates will go.</w:t>
      </w:r>
    </w:p>
    <w:p w14:paraId="0D83D2BD" w14:textId="77777777" w:rsidR="00C418BA" w:rsidRDefault="00C418BA" w:rsidP="00C418BA">
      <w:pPr>
        <w:jc w:val="both"/>
        <w:rPr>
          <w:rFonts w:ascii="AvenirNext LT Pro Regular" w:hAnsi="AvenirNext LT Pro Regular" w:cs="Tahoma"/>
          <w:bCs/>
          <w:sz w:val="20"/>
          <w:szCs w:val="20"/>
        </w:rPr>
      </w:pPr>
    </w:p>
    <w:p w14:paraId="1538475F" w14:textId="77777777" w:rsidR="00C418BA" w:rsidRDefault="00C418BA" w:rsidP="00C418BA">
      <w:pPr>
        <w:jc w:val="both"/>
        <w:rPr>
          <w:rFonts w:ascii="AvenirNext LT Pro Regular" w:hAnsi="AvenirNext LT Pro Regular" w:cs="Tahoma"/>
          <w:bCs/>
          <w:sz w:val="20"/>
          <w:szCs w:val="20"/>
        </w:rPr>
      </w:pPr>
      <w:r>
        <w:rPr>
          <w:rFonts w:ascii="AvenirNext LT Pro Regular" w:hAnsi="AvenirNext LT Pro Regular" w:cs="Tahoma"/>
          <w:bCs/>
          <w:sz w:val="20"/>
          <w:szCs w:val="20"/>
        </w:rPr>
        <w:t xml:space="preserve">There is also an ongoing narrative that a reduction in interest rates is expected to give stock performance an extra boost. This relationship makes sense given that lower rates will likely reduce the cost of financing for </w:t>
      </w:r>
      <w:r>
        <w:rPr>
          <w:rFonts w:ascii="AvenirNext LT Pro Regular" w:hAnsi="AvenirNext LT Pro Regular" w:cs="Tahoma"/>
          <w:bCs/>
          <w:sz w:val="20"/>
          <w:szCs w:val="20"/>
        </w:rPr>
        <w:t xml:space="preserve">companies as well as consumers. However, as Exhibit 2 illustrates, this dynamic might not be as powerful as it is portrayed in financial media. </w:t>
      </w:r>
    </w:p>
    <w:p w14:paraId="2B16CF85" w14:textId="77777777" w:rsidR="00C418BA" w:rsidRDefault="00C418BA" w:rsidP="00C418BA">
      <w:pPr>
        <w:jc w:val="both"/>
        <w:rPr>
          <w:rFonts w:ascii="AvenirNext LT Pro Regular" w:hAnsi="AvenirNext LT Pro Regular" w:cs="Tahoma"/>
          <w:bCs/>
          <w:sz w:val="20"/>
          <w:szCs w:val="20"/>
        </w:rPr>
      </w:pPr>
    </w:p>
    <w:p w14:paraId="2523EA26" w14:textId="77777777" w:rsidR="00C418BA" w:rsidRDefault="00C418BA" w:rsidP="00C418BA">
      <w:pPr>
        <w:jc w:val="both"/>
        <w:rPr>
          <w:rFonts w:ascii="AvenirNext LT Pro Regular" w:hAnsi="AvenirNext LT Pro Regular" w:cs="Tahoma"/>
          <w:bCs/>
          <w:sz w:val="20"/>
          <w:szCs w:val="20"/>
        </w:rPr>
      </w:pPr>
      <w:r>
        <w:rPr>
          <w:rFonts w:ascii="AvenirNext LT Pro Regular" w:hAnsi="AvenirNext LT Pro Regular" w:cs="Tahoma"/>
          <w:bCs/>
          <w:sz w:val="20"/>
          <w:szCs w:val="20"/>
        </w:rPr>
        <w:t>Exhibit 2, Average monthly return: U.S. stock market</w:t>
      </w:r>
    </w:p>
    <w:p w14:paraId="6DDA7C8F" w14:textId="77777777" w:rsidR="00C418BA" w:rsidRDefault="00C418BA" w:rsidP="00C418BA">
      <w:pPr>
        <w:jc w:val="both"/>
        <w:rPr>
          <w:rFonts w:ascii="AvenirNext LT Pro Regular" w:hAnsi="AvenirNext LT Pro Regular" w:cs="Tahoma"/>
          <w:bCs/>
          <w:sz w:val="20"/>
          <w:szCs w:val="20"/>
        </w:rPr>
      </w:pPr>
      <w:r w:rsidRPr="00B67B4A">
        <w:rPr>
          <w:rFonts w:ascii="AvenirNext LT Pro Regular" w:hAnsi="AvenirNext LT Pro Regular" w:cs="Tahoma"/>
          <w:bCs/>
          <w:noProof/>
          <w:sz w:val="20"/>
          <w:szCs w:val="20"/>
        </w:rPr>
        <w:drawing>
          <wp:inline distT="0" distB="0" distL="0" distR="0" wp14:anchorId="3C827592" wp14:editId="73E5441E">
            <wp:extent cx="2971800" cy="991870"/>
            <wp:effectExtent l="0" t="0" r="0" b="0"/>
            <wp:docPr id="269383627" name="Picture 1" descr="A graph of a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383627" name="Picture 1" descr="A graph of a bar&#10;&#10;AI-generated content may be incorrect."/>
                    <pic:cNvPicPr/>
                  </pic:nvPicPr>
                  <pic:blipFill>
                    <a:blip r:embed="rId13"/>
                    <a:stretch>
                      <a:fillRect/>
                    </a:stretch>
                  </pic:blipFill>
                  <pic:spPr>
                    <a:xfrm>
                      <a:off x="0" y="0"/>
                      <a:ext cx="2971800" cy="991870"/>
                    </a:xfrm>
                    <a:prstGeom prst="rect">
                      <a:avLst/>
                    </a:prstGeom>
                  </pic:spPr>
                </pic:pic>
              </a:graphicData>
            </a:graphic>
          </wp:inline>
        </w:drawing>
      </w:r>
    </w:p>
    <w:p w14:paraId="71E96219" w14:textId="77777777" w:rsidR="00C418BA" w:rsidRPr="00C505A8" w:rsidRDefault="00C418BA" w:rsidP="00C418BA">
      <w:pPr>
        <w:jc w:val="both"/>
        <w:rPr>
          <w:rFonts w:ascii="AvenirNext LT Pro Regular" w:hAnsi="AvenirNext LT Pro Regular" w:cs="Tahoma"/>
          <w:sz w:val="16"/>
          <w:szCs w:val="16"/>
        </w:rPr>
      </w:pPr>
      <w:r w:rsidRPr="00C505A8">
        <w:rPr>
          <w:rFonts w:ascii="AvenirNext LT Pro Regular" w:hAnsi="AvenirNext LT Pro Regular" w:cs="Tahoma"/>
          <w:sz w:val="16"/>
          <w:szCs w:val="16"/>
        </w:rPr>
        <w:t xml:space="preserve">Source: </w:t>
      </w:r>
      <w:proofErr w:type="spellStart"/>
      <w:r w:rsidRPr="00C505A8">
        <w:rPr>
          <w:rFonts w:ascii="AvenirNext LT Pro Regular" w:hAnsi="AvenirNext LT Pro Regular" w:cs="Tahoma"/>
          <w:sz w:val="16"/>
          <w:szCs w:val="16"/>
        </w:rPr>
        <w:t>Avantis</w:t>
      </w:r>
      <w:proofErr w:type="spellEnd"/>
      <w:r w:rsidRPr="00C505A8">
        <w:rPr>
          <w:rFonts w:ascii="AvenirNext LT Pro Regular" w:hAnsi="AvenirNext LT Pro Regular" w:cs="Tahoma"/>
          <w:sz w:val="16"/>
          <w:szCs w:val="16"/>
        </w:rPr>
        <w:t>. Data from 1973 - 2024. U.S. stocks are represented by the Market Portfolio from Ken French’s Data Library. The total rolling one-year periods in the analysis are 613. Total rolling 1-year periods when rates rise by &gt;1% are 93, periods when rates fall by &gt;1% are 93, and periods when rates stay within +/- 1% are 410.</w:t>
      </w:r>
    </w:p>
    <w:p w14:paraId="21654581" w14:textId="77777777" w:rsidR="00C418BA" w:rsidRDefault="00C418BA" w:rsidP="00C418BA">
      <w:pPr>
        <w:jc w:val="both"/>
        <w:rPr>
          <w:rFonts w:ascii="AvenirNext LT Pro Regular" w:hAnsi="AvenirNext LT Pro Regular" w:cs="Tahoma"/>
          <w:bCs/>
          <w:sz w:val="20"/>
          <w:szCs w:val="20"/>
        </w:rPr>
      </w:pPr>
    </w:p>
    <w:p w14:paraId="45283969" w14:textId="77777777" w:rsidR="00C418BA" w:rsidRDefault="00C418BA" w:rsidP="00C418BA">
      <w:pPr>
        <w:jc w:val="both"/>
        <w:rPr>
          <w:rFonts w:ascii="AvenirNext LT Pro Regular" w:hAnsi="AvenirNext LT Pro Regular" w:cs="Tahoma"/>
          <w:bCs/>
          <w:sz w:val="20"/>
          <w:szCs w:val="20"/>
        </w:rPr>
      </w:pPr>
    </w:p>
    <w:p w14:paraId="332F38ED"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bCs/>
          <w:sz w:val="20"/>
          <w:szCs w:val="20"/>
        </w:rPr>
        <w:t xml:space="preserve">According to this research conducted by </w:t>
      </w:r>
      <w:proofErr w:type="spellStart"/>
      <w:r>
        <w:rPr>
          <w:rFonts w:ascii="AvenirNext LT Pro Regular" w:hAnsi="AvenirNext LT Pro Regular" w:cs="Tahoma"/>
          <w:bCs/>
          <w:sz w:val="20"/>
          <w:szCs w:val="20"/>
        </w:rPr>
        <w:t>Avantis</w:t>
      </w:r>
      <w:proofErr w:type="spellEnd"/>
      <w:r>
        <w:rPr>
          <w:rFonts w:ascii="AvenirNext LT Pro Regular" w:hAnsi="AvenirNext LT Pro Regular" w:cs="Tahoma"/>
          <w:bCs/>
          <w:sz w:val="20"/>
          <w:szCs w:val="20"/>
        </w:rPr>
        <w:t>, stocks did indeed perform better when the yield on the 10-year treasury fell by more than 1%. However, stock performance during periods where yields stayed relatively flat or increased by more than 1% is not that different. And given how quickly markets adjust prices with new information, investors would have to have quicker access to information than broader markets to succeed.</w:t>
      </w:r>
      <w:r>
        <w:rPr>
          <w:rFonts w:ascii="AvenirNext LT Pro Regular" w:hAnsi="AvenirNext LT Pro Regular" w:cs="Tahoma"/>
          <w:sz w:val="20"/>
          <w:szCs w:val="20"/>
        </w:rPr>
        <w:t xml:space="preserve"> </w:t>
      </w:r>
      <w:r>
        <w:rPr>
          <w:rFonts w:ascii="AvenirNext LT Pro Regular" w:hAnsi="AvenirNext LT Pro Regular" w:cs="Tahoma"/>
          <w:bCs/>
          <w:sz w:val="20"/>
          <w:szCs w:val="20"/>
        </w:rPr>
        <w:t xml:space="preserve">This chart shows that making portfolio changes when interest rates change has not been that impactful to overall returns. </w:t>
      </w:r>
    </w:p>
    <w:p w14:paraId="35A7B663" w14:textId="77777777" w:rsidR="00C418BA" w:rsidRDefault="00C418BA" w:rsidP="00C418BA">
      <w:pPr>
        <w:jc w:val="both"/>
        <w:rPr>
          <w:rFonts w:ascii="AvenirNext LT Pro Regular" w:hAnsi="AvenirNext LT Pro Regular" w:cs="Tahoma"/>
          <w:b/>
          <w:sz w:val="20"/>
          <w:szCs w:val="20"/>
          <w:u w:val="single"/>
        </w:rPr>
      </w:pPr>
    </w:p>
    <w:p w14:paraId="7E0CC914" w14:textId="77777777" w:rsidR="00C418BA" w:rsidRDefault="00C418BA" w:rsidP="00C418BA">
      <w:pPr>
        <w:jc w:val="both"/>
        <w:rPr>
          <w:rFonts w:ascii="AvenirNext LT Pro Regular" w:hAnsi="AvenirNext LT Pro Regular" w:cs="Tahoma"/>
          <w:b/>
          <w:sz w:val="20"/>
          <w:szCs w:val="20"/>
          <w:u w:val="single"/>
        </w:rPr>
      </w:pPr>
      <w:r w:rsidRPr="00190A6E">
        <w:rPr>
          <w:rFonts w:ascii="AvenirNext LT Pro Regular" w:hAnsi="AvenirNext LT Pro Regular" w:cs="Tahoma"/>
          <w:b/>
          <w:sz w:val="20"/>
          <w:szCs w:val="20"/>
          <w:u w:val="single"/>
        </w:rPr>
        <w:t>U.S. Equity</w:t>
      </w:r>
    </w:p>
    <w:p w14:paraId="4B8B11A8" w14:textId="77777777" w:rsidR="00C418BA" w:rsidRPr="00190A6E" w:rsidRDefault="00C418BA" w:rsidP="00C418BA">
      <w:pPr>
        <w:jc w:val="both"/>
        <w:rPr>
          <w:rFonts w:ascii="AvenirNext LT Pro Regular" w:hAnsi="AvenirNext LT Pro Regular" w:cs="Tahoma"/>
          <w:b/>
          <w:sz w:val="20"/>
          <w:szCs w:val="20"/>
          <w:u w:val="single"/>
        </w:rPr>
      </w:pPr>
    </w:p>
    <w:p w14:paraId="31312A95" w14:textId="77777777" w:rsidR="00C418BA" w:rsidRDefault="00C418BA" w:rsidP="00C418BA">
      <w:pPr>
        <w:pStyle w:val="ListParagraph"/>
        <w:numPr>
          <w:ilvl w:val="0"/>
          <w:numId w:val="9"/>
        </w:numPr>
        <w:jc w:val="both"/>
        <w:rPr>
          <w:rFonts w:ascii="AvenirNext LT Pro Regular" w:hAnsi="AvenirNext LT Pro Regular" w:cs="Tahoma"/>
          <w:sz w:val="20"/>
          <w:szCs w:val="20"/>
        </w:rPr>
      </w:pPr>
      <w:r w:rsidRPr="003E5F76">
        <w:rPr>
          <w:rFonts w:ascii="AvenirNext LT Pro Regular" w:hAnsi="AvenirNext LT Pro Regular" w:cs="Tahoma"/>
          <w:sz w:val="20"/>
          <w:szCs w:val="20"/>
        </w:rPr>
        <w:t>U</w:t>
      </w:r>
      <w:r>
        <w:rPr>
          <w:rFonts w:ascii="AvenirNext LT Pro Regular" w:hAnsi="AvenirNext LT Pro Regular" w:cs="Tahoma"/>
          <w:sz w:val="20"/>
          <w:szCs w:val="20"/>
        </w:rPr>
        <w:t>.</w:t>
      </w:r>
      <w:r w:rsidRPr="003E5F76">
        <w:rPr>
          <w:rFonts w:ascii="AvenirNext LT Pro Regular" w:hAnsi="AvenirNext LT Pro Regular" w:cs="Tahoma"/>
          <w:sz w:val="20"/>
          <w:szCs w:val="20"/>
        </w:rPr>
        <w:t>S</w:t>
      </w:r>
      <w:r>
        <w:rPr>
          <w:rFonts w:ascii="AvenirNext LT Pro Regular" w:hAnsi="AvenirNext LT Pro Regular" w:cs="Tahoma"/>
          <w:sz w:val="20"/>
          <w:szCs w:val="20"/>
        </w:rPr>
        <w:t>.</w:t>
      </w:r>
      <w:r w:rsidRPr="003E5F76">
        <w:rPr>
          <w:rFonts w:ascii="AvenirNext LT Pro Regular" w:hAnsi="AvenirNext LT Pro Regular" w:cs="Tahoma"/>
          <w:sz w:val="20"/>
          <w:szCs w:val="20"/>
        </w:rPr>
        <w:t xml:space="preserve"> stocks </w:t>
      </w:r>
      <w:r>
        <w:rPr>
          <w:rFonts w:ascii="AvenirNext LT Pro Regular" w:hAnsi="AvenirNext LT Pro Regular" w:cs="Tahoma"/>
          <w:sz w:val="20"/>
          <w:szCs w:val="20"/>
        </w:rPr>
        <w:t>were positive for Q3 gaining 8.2% fueled in part by a small-cap stock rally. Small-cap value stocks gained the most at 12.6%.</w:t>
      </w:r>
    </w:p>
    <w:p w14:paraId="463B53B8" w14:textId="77777777" w:rsidR="00C418BA" w:rsidRDefault="00C418BA" w:rsidP="00C418BA">
      <w:pPr>
        <w:pStyle w:val="ListParagraph"/>
        <w:numPr>
          <w:ilvl w:val="0"/>
          <w:numId w:val="9"/>
        </w:numPr>
        <w:jc w:val="both"/>
        <w:rPr>
          <w:rFonts w:ascii="AvenirNext LT Pro Regular" w:hAnsi="AvenirNext LT Pro Regular" w:cs="Tahoma"/>
          <w:sz w:val="20"/>
          <w:szCs w:val="20"/>
        </w:rPr>
      </w:pPr>
      <w:r>
        <w:rPr>
          <w:rFonts w:ascii="AvenirNext LT Pro Regular" w:hAnsi="AvenirNext LT Pro Regular" w:cs="Tahoma"/>
          <w:sz w:val="20"/>
          <w:szCs w:val="20"/>
        </w:rPr>
        <w:t>Large-cap growth stocks lead the pack YTD (+17.2%) as trade and tariff uncertainty weighed more heavily on small-cap and value stocks earlier in the year.</w:t>
      </w:r>
    </w:p>
    <w:p w14:paraId="6D079F85" w14:textId="77777777" w:rsidR="00C418BA" w:rsidRDefault="00C418BA" w:rsidP="00C418BA">
      <w:pPr>
        <w:pStyle w:val="ListParagraph"/>
        <w:numPr>
          <w:ilvl w:val="0"/>
          <w:numId w:val="9"/>
        </w:numPr>
        <w:jc w:val="both"/>
        <w:rPr>
          <w:rFonts w:ascii="AvenirNext LT Pro Regular" w:hAnsi="AvenirNext LT Pro Regular" w:cs="Tahoma"/>
          <w:sz w:val="20"/>
          <w:szCs w:val="20"/>
        </w:rPr>
      </w:pPr>
      <w:r>
        <w:rPr>
          <w:rFonts w:ascii="AvenirNext LT Pro Regular" w:hAnsi="AvenirNext LT Pro Regular" w:cs="Tahoma"/>
          <w:sz w:val="20"/>
          <w:szCs w:val="20"/>
        </w:rPr>
        <w:t>During the last 12 months, all U.S. stock segments are positive.</w:t>
      </w:r>
    </w:p>
    <w:p w14:paraId="587F9DD0" w14:textId="77777777" w:rsidR="00C418BA" w:rsidRDefault="00C418BA" w:rsidP="00C418BA">
      <w:pPr>
        <w:jc w:val="both"/>
        <w:rPr>
          <w:rFonts w:ascii="AvenirNext LT Pro Regular" w:hAnsi="AvenirNext LT Pro Regular" w:cs="Tahoma"/>
          <w:sz w:val="20"/>
          <w:szCs w:val="20"/>
        </w:rPr>
      </w:pPr>
    </w:p>
    <w:p w14:paraId="32D60F01" w14:textId="77777777" w:rsidR="00C418BA" w:rsidRDefault="00C418BA" w:rsidP="00C418BA">
      <w:pPr>
        <w:jc w:val="both"/>
        <w:rPr>
          <w:rFonts w:ascii="AvenirNext LT Pro Regular" w:hAnsi="AvenirNext LT Pro Regular" w:cs="Tahoma"/>
          <w:sz w:val="20"/>
          <w:szCs w:val="20"/>
        </w:rPr>
      </w:pPr>
      <w:r w:rsidRPr="00657D56">
        <w:rPr>
          <w:rFonts w:ascii="AvenirNext LT Pro Regular" w:hAnsi="AvenirNext LT Pro Regular" w:cs="Tahoma"/>
          <w:sz w:val="20"/>
          <w:szCs w:val="20"/>
        </w:rPr>
        <w:t xml:space="preserve">While small-cap value stocks led the pack this quarter, the U.S. stock market has been largely supported by large technology-focused companies over longer periods. </w:t>
      </w:r>
    </w:p>
    <w:p w14:paraId="590A560E" w14:textId="77777777" w:rsidR="00C418BA" w:rsidRDefault="00C418BA" w:rsidP="00C418BA">
      <w:pPr>
        <w:jc w:val="both"/>
        <w:rPr>
          <w:rFonts w:ascii="AvenirNext LT Pro Regular" w:hAnsi="AvenirNext LT Pro Regular" w:cs="Tahoma"/>
          <w:sz w:val="20"/>
          <w:szCs w:val="20"/>
        </w:rPr>
      </w:pPr>
    </w:p>
    <w:p w14:paraId="7C9435DE"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C</w:t>
      </w:r>
      <w:r w:rsidRPr="00657D56">
        <w:rPr>
          <w:rFonts w:ascii="AvenirNext LT Pro Regular" w:hAnsi="AvenirNext LT Pro Regular" w:cs="Tahoma"/>
          <w:sz w:val="20"/>
          <w:szCs w:val="20"/>
        </w:rPr>
        <w:t xml:space="preserve">ompanies have been producing massive amounts of semiconductor chips and other supporting infrastructure to fuel </w:t>
      </w:r>
      <w:r>
        <w:rPr>
          <w:rFonts w:ascii="AvenirNext LT Pro Regular" w:hAnsi="AvenirNext LT Pro Regular" w:cs="Tahoma"/>
          <w:sz w:val="20"/>
          <w:szCs w:val="20"/>
        </w:rPr>
        <w:t>the</w:t>
      </w:r>
      <w:r w:rsidRPr="00657D56">
        <w:rPr>
          <w:rFonts w:ascii="AvenirNext LT Pro Regular" w:hAnsi="AvenirNext LT Pro Regular" w:cs="Tahoma"/>
          <w:sz w:val="20"/>
          <w:szCs w:val="20"/>
        </w:rPr>
        <w:t xml:space="preserve"> growth</w:t>
      </w:r>
      <w:r>
        <w:rPr>
          <w:rFonts w:ascii="AvenirNext LT Pro Regular" w:hAnsi="AvenirNext LT Pro Regular" w:cs="Tahoma"/>
          <w:sz w:val="20"/>
          <w:szCs w:val="20"/>
        </w:rPr>
        <w:t xml:space="preserve"> of artificial intelligence</w:t>
      </w:r>
      <w:r w:rsidRPr="00657D56">
        <w:rPr>
          <w:rFonts w:ascii="AvenirNext LT Pro Regular" w:hAnsi="AvenirNext LT Pro Regular" w:cs="Tahoma"/>
          <w:sz w:val="20"/>
          <w:szCs w:val="20"/>
        </w:rPr>
        <w:t xml:space="preserve"> as the next potential technology to boost society’s productivity. </w:t>
      </w:r>
      <w:r>
        <w:rPr>
          <w:rFonts w:ascii="AvenirNext LT Pro Regular" w:hAnsi="AvenirNext LT Pro Regular" w:cs="Tahoma"/>
          <w:sz w:val="20"/>
          <w:szCs w:val="20"/>
        </w:rPr>
        <w:t xml:space="preserve">Markets have grown accustomed to </w:t>
      </w:r>
      <w:r w:rsidRPr="00657D56">
        <w:rPr>
          <w:rFonts w:ascii="AvenirNext LT Pro Regular" w:hAnsi="AvenirNext LT Pro Regular" w:cs="Tahoma"/>
          <w:sz w:val="20"/>
          <w:szCs w:val="20"/>
        </w:rPr>
        <w:t>seeing eye-popping dollar figures associated with AI-related spending being announced by "AI hyper-scalers,</w:t>
      </w:r>
      <w:r>
        <w:rPr>
          <w:rFonts w:ascii="AvenirNext LT Pro Regular" w:hAnsi="AvenirNext LT Pro Regular" w:cs="Tahoma"/>
          <w:sz w:val="20"/>
          <w:szCs w:val="20"/>
        </w:rPr>
        <w:t xml:space="preserve">” </w:t>
      </w:r>
      <w:r w:rsidRPr="00657D56">
        <w:rPr>
          <w:rFonts w:ascii="AvenirNext LT Pro Regular" w:hAnsi="AvenirNext LT Pro Regular" w:cs="Tahoma"/>
          <w:sz w:val="20"/>
          <w:szCs w:val="20"/>
        </w:rPr>
        <w:t xml:space="preserve">such as Alphabet, Amazon, Meta, Microsoft, and Oracle totaling in the hundreds of billions over the next several years. </w:t>
      </w:r>
    </w:p>
    <w:p w14:paraId="5CE37D3C" w14:textId="77777777" w:rsidR="00C418BA" w:rsidRDefault="00C418BA" w:rsidP="00C418BA">
      <w:pPr>
        <w:jc w:val="both"/>
        <w:rPr>
          <w:rFonts w:ascii="AvenirNext LT Pro Regular" w:hAnsi="AvenirNext LT Pro Regular" w:cs="Tahoma"/>
          <w:sz w:val="20"/>
          <w:szCs w:val="20"/>
        </w:rPr>
      </w:pPr>
    </w:p>
    <w:p w14:paraId="1E483CBE" w14:textId="77777777" w:rsidR="00C418BA" w:rsidRDefault="00C418BA" w:rsidP="00C418BA">
      <w:pPr>
        <w:jc w:val="both"/>
        <w:rPr>
          <w:rFonts w:ascii="AvenirNext LT Pro Regular" w:hAnsi="AvenirNext LT Pro Regular" w:cs="Tahoma"/>
          <w:sz w:val="20"/>
          <w:szCs w:val="20"/>
        </w:rPr>
      </w:pPr>
      <w:r w:rsidRPr="00657D56">
        <w:rPr>
          <w:rFonts w:ascii="AvenirNext LT Pro Regular" w:hAnsi="AvenirNext LT Pro Regular" w:cs="Tahoma"/>
          <w:sz w:val="20"/>
          <w:szCs w:val="20"/>
        </w:rPr>
        <w:t xml:space="preserve">Markets </w:t>
      </w:r>
      <w:r>
        <w:rPr>
          <w:rFonts w:ascii="AvenirNext LT Pro Regular" w:hAnsi="AvenirNext LT Pro Regular" w:cs="Tahoma"/>
          <w:sz w:val="20"/>
          <w:szCs w:val="20"/>
        </w:rPr>
        <w:t xml:space="preserve">also </w:t>
      </w:r>
      <w:r w:rsidRPr="00657D56">
        <w:rPr>
          <w:rFonts w:ascii="AvenirNext LT Pro Regular" w:hAnsi="AvenirNext LT Pro Regular" w:cs="Tahoma"/>
          <w:sz w:val="20"/>
          <w:szCs w:val="20"/>
        </w:rPr>
        <w:t xml:space="preserve">acknowledge that huge sums of capital are necessary to bring AI to the masses, but the return-on-investment will also need to be significant, and there has been little in terms of concrete numbers to bring clarity on what future revenue streams will look like. If the cost to support AI does not bring dramatic returns on the initial investments made by these companies, that's a risk to investors who concentrate portfolios around these companies.  </w:t>
      </w:r>
    </w:p>
    <w:p w14:paraId="544F059C" w14:textId="77777777" w:rsidR="00C418BA" w:rsidRDefault="00C418BA" w:rsidP="00C418BA">
      <w:pPr>
        <w:jc w:val="both"/>
        <w:rPr>
          <w:rFonts w:ascii="AvenirNext LT Pro Regular" w:hAnsi="AvenirNext LT Pro Regular" w:cs="Tahoma"/>
          <w:sz w:val="20"/>
          <w:szCs w:val="20"/>
        </w:rPr>
      </w:pPr>
    </w:p>
    <w:p w14:paraId="76972189"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 xml:space="preserve">These large-growth technology companies have become increasingly expensive over the last several years, which has introduced heightened concentration risk, or the idea that so few companies have an outsized influence on market performance. </w:t>
      </w:r>
    </w:p>
    <w:p w14:paraId="1EEE8C3E" w14:textId="77777777" w:rsidR="00C418BA" w:rsidRDefault="00C418BA" w:rsidP="00C418BA">
      <w:pPr>
        <w:jc w:val="both"/>
        <w:rPr>
          <w:rFonts w:ascii="AvenirNext LT Pro Regular" w:hAnsi="AvenirNext LT Pro Regular" w:cs="Tahoma"/>
          <w:sz w:val="20"/>
          <w:szCs w:val="20"/>
        </w:rPr>
      </w:pPr>
    </w:p>
    <w:p w14:paraId="4086E996" w14:textId="77777777" w:rsidR="00C418BA" w:rsidRDefault="00C418BA" w:rsidP="00C418BA">
      <w:pPr>
        <w:jc w:val="both"/>
        <w:rPr>
          <w:rFonts w:ascii="AvenirNext LT Pro Regular" w:hAnsi="AvenirNext LT Pro Regular" w:cs="Tahoma"/>
          <w:sz w:val="20"/>
          <w:szCs w:val="20"/>
        </w:rPr>
      </w:pPr>
      <w:r w:rsidRPr="001B39F9">
        <w:rPr>
          <w:rFonts w:ascii="AvenirNext LT Pro Regular" w:hAnsi="AvenirNext LT Pro Regular" w:cs="Tahoma"/>
          <w:sz w:val="20"/>
          <w:szCs w:val="20"/>
        </w:rPr>
        <w:t>Exhibit 3 shows that today’s top 10 S&amp;P 500 companies are more expensive, based on the 12-month forward P/E ratio, than the top 10 were in the late 1990s and early 2000s before the internet bubble burst.</w:t>
      </w:r>
      <w:r>
        <w:rPr>
          <w:rFonts w:ascii="AvenirNext LT Pro Regular" w:hAnsi="AvenirNext LT Pro Regular" w:cs="Tahoma"/>
          <w:sz w:val="20"/>
          <w:szCs w:val="20"/>
        </w:rPr>
        <w:t xml:space="preserve"> </w:t>
      </w:r>
      <w:r w:rsidRPr="00681577">
        <w:rPr>
          <w:rFonts w:ascii="AvenirNext LT Pro Regular" w:hAnsi="AvenirNext LT Pro Regular" w:cs="Tahoma"/>
          <w:sz w:val="20"/>
          <w:szCs w:val="20"/>
        </w:rPr>
        <w:t xml:space="preserve">The same is true for the index more broadly. Just like the AI revolution of the 2020s, the internet revolution of the 1990s touted generational change, and in hindsight, it's fair to say that the internet delivered on its then promises. </w:t>
      </w:r>
      <w:r>
        <w:rPr>
          <w:rFonts w:ascii="AvenirNext LT Pro Regular" w:hAnsi="AvenirNext LT Pro Regular" w:cs="Tahoma"/>
          <w:sz w:val="20"/>
          <w:szCs w:val="20"/>
        </w:rPr>
        <w:t>While the future is unknowable, t</w:t>
      </w:r>
      <w:r w:rsidRPr="00681577">
        <w:rPr>
          <w:rFonts w:ascii="AvenirNext LT Pro Regular" w:hAnsi="AvenirNext LT Pro Regular" w:cs="Tahoma"/>
          <w:sz w:val="20"/>
          <w:szCs w:val="20"/>
        </w:rPr>
        <w:t xml:space="preserve">he same might be true for AI, </w:t>
      </w:r>
      <w:r>
        <w:rPr>
          <w:rFonts w:ascii="AvenirNext LT Pro Regular" w:hAnsi="AvenirNext LT Pro Regular" w:cs="Tahoma"/>
          <w:sz w:val="20"/>
          <w:szCs w:val="20"/>
        </w:rPr>
        <w:t>and</w:t>
      </w:r>
      <w:r w:rsidRPr="00681577">
        <w:rPr>
          <w:rFonts w:ascii="AvenirNext LT Pro Regular" w:hAnsi="AvenirNext LT Pro Regular" w:cs="Tahoma"/>
          <w:sz w:val="20"/>
          <w:szCs w:val="20"/>
        </w:rPr>
        <w:t xml:space="preserve"> it's also not unreasonable to expect that </w:t>
      </w:r>
      <w:r>
        <w:rPr>
          <w:rFonts w:ascii="AvenirNext LT Pro Regular" w:hAnsi="AvenirNext LT Pro Regular" w:cs="Tahoma"/>
          <w:sz w:val="20"/>
          <w:szCs w:val="20"/>
        </w:rPr>
        <w:t xml:space="preserve">it could happen </w:t>
      </w:r>
      <w:r w:rsidRPr="00681577">
        <w:rPr>
          <w:rFonts w:ascii="AvenirNext LT Pro Regular" w:hAnsi="AvenirNext LT Pro Regular" w:cs="Tahoma"/>
          <w:sz w:val="20"/>
          <w:szCs w:val="20"/>
        </w:rPr>
        <w:t xml:space="preserve">with the same </w:t>
      </w:r>
      <w:proofErr w:type="spellStart"/>
      <w:proofErr w:type="gramStart"/>
      <w:r w:rsidRPr="00681577">
        <w:rPr>
          <w:rFonts w:ascii="AvenirNext LT Pro Regular" w:hAnsi="AvenirNext LT Pro Regular" w:cs="Tahoma"/>
          <w:sz w:val="20"/>
          <w:szCs w:val="20"/>
        </w:rPr>
        <w:t>fall-back</w:t>
      </w:r>
      <w:proofErr w:type="spellEnd"/>
      <w:r w:rsidRPr="00681577">
        <w:rPr>
          <w:rFonts w:ascii="AvenirNext LT Pro Regular" w:hAnsi="AvenirNext LT Pro Regular" w:cs="Tahoma"/>
          <w:sz w:val="20"/>
          <w:szCs w:val="20"/>
        </w:rPr>
        <w:t>-to</w:t>
      </w:r>
      <w:proofErr w:type="gramEnd"/>
      <w:r w:rsidRPr="00681577">
        <w:rPr>
          <w:rFonts w:ascii="AvenirNext LT Pro Regular" w:hAnsi="AvenirNext LT Pro Regular" w:cs="Tahoma"/>
          <w:sz w:val="20"/>
          <w:szCs w:val="20"/>
        </w:rPr>
        <w:t>-earth dynamic as when the internet bubble burst.</w:t>
      </w:r>
    </w:p>
    <w:p w14:paraId="12BBE8C6" w14:textId="77777777" w:rsidR="00C418BA" w:rsidRDefault="00C418BA" w:rsidP="00C418BA">
      <w:pPr>
        <w:jc w:val="both"/>
        <w:rPr>
          <w:rFonts w:ascii="AvenirNext LT Pro Regular" w:hAnsi="AvenirNext LT Pro Regular" w:cs="Tahoma"/>
          <w:sz w:val="20"/>
          <w:szCs w:val="20"/>
        </w:rPr>
      </w:pPr>
    </w:p>
    <w:p w14:paraId="4DDDC022" w14:textId="77777777" w:rsidR="00C418BA" w:rsidRDefault="00C418BA" w:rsidP="00C418BA">
      <w:pPr>
        <w:jc w:val="both"/>
        <w:rPr>
          <w:rFonts w:ascii="AvenirNext LT Pro Regular" w:hAnsi="AvenirNext LT Pro Regular" w:cs="Tahoma"/>
          <w:sz w:val="20"/>
          <w:szCs w:val="20"/>
        </w:rPr>
      </w:pPr>
      <w:r w:rsidRPr="00DA2D2A">
        <w:rPr>
          <w:rFonts w:ascii="AvenirNext LT Pro Regular" w:hAnsi="AvenirNext LT Pro Regular" w:cs="Tahoma"/>
          <w:noProof/>
          <w:sz w:val="20"/>
          <w:szCs w:val="20"/>
        </w:rPr>
        <w:drawing>
          <wp:anchor distT="0" distB="0" distL="114300" distR="114300" simplePos="0" relativeHeight="251660288" behindDoc="1" locked="0" layoutInCell="1" allowOverlap="1" wp14:anchorId="3D732A2F" wp14:editId="06262D83">
            <wp:simplePos x="0" y="0"/>
            <wp:positionH relativeFrom="column">
              <wp:posOffset>0</wp:posOffset>
            </wp:positionH>
            <wp:positionV relativeFrom="paragraph">
              <wp:posOffset>225425</wp:posOffset>
            </wp:positionV>
            <wp:extent cx="5419725" cy="2136775"/>
            <wp:effectExtent l="0" t="0" r="9525" b="0"/>
            <wp:wrapTight wrapText="bothSides">
              <wp:wrapPolygon edited="0">
                <wp:start x="0" y="0"/>
                <wp:lineTo x="0" y="21375"/>
                <wp:lineTo x="21562" y="21375"/>
                <wp:lineTo x="21562" y="0"/>
                <wp:lineTo x="0" y="0"/>
              </wp:wrapPolygon>
            </wp:wrapTight>
            <wp:docPr id="4025872" name="Picture 1" descr="A graph of different colored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5872" name="Picture 1" descr="A graph of different colored bars&#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5419725" cy="2136775"/>
                    </a:xfrm>
                    <a:prstGeom prst="rect">
                      <a:avLst/>
                    </a:prstGeom>
                  </pic:spPr>
                </pic:pic>
              </a:graphicData>
            </a:graphic>
            <wp14:sizeRelH relativeFrom="margin">
              <wp14:pctWidth>0</wp14:pctWidth>
            </wp14:sizeRelH>
            <wp14:sizeRelV relativeFrom="margin">
              <wp14:pctHeight>0</wp14:pctHeight>
            </wp14:sizeRelV>
          </wp:anchor>
        </w:drawing>
      </w:r>
      <w:r>
        <w:rPr>
          <w:rFonts w:ascii="AvenirNext LT Pro Regular" w:hAnsi="AvenirNext LT Pro Regular" w:cs="Tahoma"/>
          <w:sz w:val="20"/>
          <w:szCs w:val="20"/>
        </w:rPr>
        <w:t>Exhibit 3</w:t>
      </w:r>
    </w:p>
    <w:p w14:paraId="4F20A7C6" w14:textId="77777777" w:rsidR="00C418BA" w:rsidRPr="00E70284" w:rsidRDefault="00C418BA" w:rsidP="00C418BA">
      <w:pPr>
        <w:jc w:val="both"/>
        <w:rPr>
          <w:rFonts w:ascii="AvenirNext LT Pro Regular" w:hAnsi="AvenirNext LT Pro Regular" w:cs="Tahoma"/>
          <w:sz w:val="16"/>
          <w:szCs w:val="16"/>
        </w:rPr>
      </w:pPr>
      <w:r w:rsidRPr="00E70284">
        <w:rPr>
          <w:rFonts w:ascii="AvenirNext LT Pro Regular" w:hAnsi="AvenirNext LT Pro Regular" w:cs="Tahoma"/>
          <w:sz w:val="16"/>
          <w:szCs w:val="16"/>
        </w:rPr>
        <w:t>Source: Bloomberg, Apollo Chief Economist. Top 10 companies are by market cap.  Data as of July 2025</w:t>
      </w:r>
    </w:p>
    <w:p w14:paraId="32D14573" w14:textId="77777777" w:rsidR="00C418BA" w:rsidRDefault="00C418BA" w:rsidP="00C418BA">
      <w:pPr>
        <w:jc w:val="both"/>
        <w:rPr>
          <w:rFonts w:ascii="AvenirNext LT Pro Regular" w:hAnsi="AvenirNext LT Pro Regular" w:cs="Tahoma"/>
          <w:sz w:val="20"/>
          <w:szCs w:val="20"/>
        </w:rPr>
      </w:pPr>
    </w:p>
    <w:p w14:paraId="2162238C" w14:textId="77777777" w:rsidR="00C418BA" w:rsidRPr="00AA6AA6" w:rsidRDefault="00C418BA" w:rsidP="00C418BA">
      <w:pPr>
        <w:jc w:val="both"/>
        <w:rPr>
          <w:rFonts w:ascii="AvenirNext LT Pro Regular" w:hAnsi="AvenirNext LT Pro Regular" w:cs="Tahoma"/>
          <w:b/>
          <w:sz w:val="20"/>
          <w:szCs w:val="20"/>
          <w:u w:val="single"/>
        </w:rPr>
      </w:pPr>
      <w:r w:rsidRPr="00523557">
        <w:rPr>
          <w:rFonts w:ascii="AvenirNext LT Pro Regular" w:hAnsi="AvenirNext LT Pro Regular" w:cs="Tahoma"/>
          <w:b/>
          <w:sz w:val="20"/>
          <w:szCs w:val="20"/>
          <w:u w:val="single"/>
        </w:rPr>
        <w:t>Non-U.S. Equity</w:t>
      </w:r>
    </w:p>
    <w:p w14:paraId="4CFA725F" w14:textId="77777777" w:rsidR="00C418BA" w:rsidRPr="00AA6AA6" w:rsidRDefault="00C418BA" w:rsidP="00C418BA">
      <w:pPr>
        <w:jc w:val="both"/>
        <w:rPr>
          <w:rFonts w:ascii="AvenirNext LT Pro Regular" w:hAnsi="AvenirNext LT Pro Regular" w:cs="Tahoma"/>
          <w:sz w:val="20"/>
          <w:szCs w:val="20"/>
        </w:rPr>
      </w:pPr>
    </w:p>
    <w:p w14:paraId="3F028F69" w14:textId="77777777" w:rsidR="00C418BA" w:rsidRDefault="00C418BA" w:rsidP="00C418BA">
      <w:pPr>
        <w:pStyle w:val="ListParagraph"/>
        <w:numPr>
          <w:ilvl w:val="0"/>
          <w:numId w:val="10"/>
        </w:numPr>
        <w:jc w:val="both"/>
        <w:rPr>
          <w:rFonts w:ascii="AvenirNext LT Pro Regular" w:hAnsi="AvenirNext LT Pro Regular" w:cs="Tahoma"/>
          <w:sz w:val="20"/>
          <w:szCs w:val="20"/>
        </w:rPr>
      </w:pPr>
      <w:r>
        <w:rPr>
          <w:rFonts w:ascii="AvenirNext LT Pro Regular" w:hAnsi="AvenirNext LT Pro Regular" w:cs="Tahoma"/>
          <w:sz w:val="20"/>
          <w:szCs w:val="20"/>
        </w:rPr>
        <w:t>Developed and emerging n</w:t>
      </w:r>
      <w:r w:rsidRPr="00A76A29">
        <w:rPr>
          <w:rFonts w:ascii="AvenirNext LT Pro Regular" w:hAnsi="AvenirNext LT Pro Regular" w:cs="Tahoma"/>
          <w:sz w:val="20"/>
          <w:szCs w:val="20"/>
        </w:rPr>
        <w:t xml:space="preserve">on-US stock </w:t>
      </w:r>
      <w:r>
        <w:rPr>
          <w:rFonts w:ascii="AvenirNext LT Pro Regular" w:hAnsi="AvenirNext LT Pro Regular" w:cs="Tahoma"/>
          <w:sz w:val="20"/>
          <w:szCs w:val="20"/>
        </w:rPr>
        <w:t xml:space="preserve">market </w:t>
      </w:r>
      <w:r w:rsidRPr="00A76A29">
        <w:rPr>
          <w:rFonts w:ascii="AvenirNext LT Pro Regular" w:hAnsi="AvenirNext LT Pro Regular" w:cs="Tahoma"/>
          <w:sz w:val="20"/>
          <w:szCs w:val="20"/>
        </w:rPr>
        <w:t xml:space="preserve">returns were </w:t>
      </w:r>
      <w:r>
        <w:rPr>
          <w:rFonts w:ascii="AvenirNext LT Pro Regular" w:hAnsi="AvenirNext LT Pro Regular" w:cs="Tahoma"/>
          <w:sz w:val="20"/>
          <w:szCs w:val="20"/>
        </w:rPr>
        <w:t>all positive for Q3 and all periods during the last 12 months.</w:t>
      </w:r>
    </w:p>
    <w:p w14:paraId="6044945F" w14:textId="77777777" w:rsidR="00C418BA" w:rsidRDefault="00C418BA" w:rsidP="00C418BA">
      <w:pPr>
        <w:pStyle w:val="ListParagraph"/>
        <w:numPr>
          <w:ilvl w:val="0"/>
          <w:numId w:val="10"/>
        </w:numPr>
        <w:jc w:val="both"/>
        <w:rPr>
          <w:rFonts w:ascii="AvenirNext LT Pro Regular" w:hAnsi="AvenirNext LT Pro Regular" w:cs="Tahoma"/>
          <w:sz w:val="20"/>
          <w:szCs w:val="20"/>
        </w:rPr>
      </w:pPr>
      <w:r>
        <w:rPr>
          <w:rFonts w:ascii="AvenirNext LT Pro Regular" w:hAnsi="AvenirNext LT Pro Regular" w:cs="Tahoma"/>
          <w:sz w:val="20"/>
          <w:szCs w:val="20"/>
        </w:rPr>
        <w:t xml:space="preserve">International developed large-cap value stocks returned the most during the last 12 months </w:t>
      </w:r>
      <w:proofErr w:type="gramStart"/>
      <w:r>
        <w:rPr>
          <w:rFonts w:ascii="AvenirNext LT Pro Regular" w:hAnsi="AvenirNext LT Pro Regular" w:cs="Tahoma"/>
          <w:sz w:val="20"/>
          <w:szCs w:val="20"/>
        </w:rPr>
        <w:t>at</w:t>
      </w:r>
      <w:proofErr w:type="gramEnd"/>
      <w:r>
        <w:rPr>
          <w:rFonts w:ascii="AvenirNext LT Pro Regular" w:hAnsi="AvenirNext LT Pro Regular" w:cs="Tahoma"/>
          <w:sz w:val="20"/>
          <w:szCs w:val="20"/>
        </w:rPr>
        <w:t xml:space="preserve"> </w:t>
      </w:r>
      <w:r>
        <w:rPr>
          <w:rFonts w:ascii="AvenirNext LT Pro Regular" w:hAnsi="AvenirNext LT Pro Regular" w:cs="Tahoma"/>
          <w:sz w:val="20"/>
          <w:szCs w:val="20"/>
        </w:rPr>
        <w:t xml:space="preserve">22.9% while small-cap value stocks show the best YTD performance of 31.9%.  </w:t>
      </w:r>
    </w:p>
    <w:p w14:paraId="41FCE990" w14:textId="77777777" w:rsidR="00C418BA" w:rsidRPr="00947DBB" w:rsidRDefault="00C418BA" w:rsidP="00C418BA">
      <w:pPr>
        <w:jc w:val="both"/>
        <w:rPr>
          <w:rFonts w:ascii="AvenirNext LT Pro Regular" w:hAnsi="AvenirNext LT Pro Regular" w:cs="Tahoma"/>
          <w:sz w:val="20"/>
          <w:szCs w:val="20"/>
        </w:rPr>
      </w:pPr>
    </w:p>
    <w:p w14:paraId="1E99061E" w14:textId="77777777" w:rsidR="00C418BA" w:rsidRPr="00067B11" w:rsidRDefault="00C418BA" w:rsidP="00C418BA">
      <w:pPr>
        <w:jc w:val="both"/>
        <w:rPr>
          <w:rFonts w:ascii="AvenirNext LT Pro Regular" w:hAnsi="AvenirNext LT Pro Regular" w:cs="Tahoma"/>
          <w:sz w:val="20"/>
          <w:szCs w:val="20"/>
        </w:rPr>
      </w:pPr>
      <w:r w:rsidRPr="00067B11">
        <w:rPr>
          <w:rFonts w:ascii="AvenirNext LT Pro Regular" w:hAnsi="AvenirNext LT Pro Regular" w:cs="Tahoma"/>
          <w:sz w:val="20"/>
          <w:szCs w:val="20"/>
        </w:rPr>
        <w:t xml:space="preserve">While international developed stocks underperformed their U.S. counterparts last quarter, they hold a substantial lead so far YTD and are on near-equal footing for the last 12 months. And at least part of that has been supported by a falling U.S. dollar. </w:t>
      </w:r>
      <w:r>
        <w:rPr>
          <w:rFonts w:ascii="AvenirNext LT Pro Regular" w:hAnsi="AvenirNext LT Pro Regular" w:cs="Tahoma"/>
          <w:sz w:val="20"/>
          <w:szCs w:val="20"/>
        </w:rPr>
        <w:t>T</w:t>
      </w:r>
      <w:r w:rsidRPr="00067B11">
        <w:rPr>
          <w:rFonts w:ascii="AvenirNext LT Pro Regular" w:hAnsi="AvenirNext LT Pro Regular" w:cs="Tahoma"/>
          <w:sz w:val="20"/>
          <w:szCs w:val="20"/>
        </w:rPr>
        <w:t xml:space="preserve">his phenomenon is not unique to 2025. In portions of each decade from the mid-to-late 70s through this year, when the dollar has a broad, sustained decline compared to other major global currencies, U.S. investors who hold investments priced in international currencies will see a boost in returns. </w:t>
      </w:r>
    </w:p>
    <w:p w14:paraId="6F8C6757" w14:textId="77777777" w:rsidR="00C418BA" w:rsidRPr="00067B11" w:rsidRDefault="00C418BA" w:rsidP="00C418BA">
      <w:pPr>
        <w:jc w:val="both"/>
        <w:rPr>
          <w:rFonts w:ascii="AvenirNext LT Pro Regular" w:hAnsi="AvenirNext LT Pro Regular" w:cs="Tahoma"/>
          <w:sz w:val="20"/>
          <w:szCs w:val="20"/>
        </w:rPr>
      </w:pPr>
    </w:p>
    <w:p w14:paraId="78656884" w14:textId="1EAB42AC" w:rsidR="00C418BA" w:rsidRDefault="00C418BA" w:rsidP="00C418BA">
      <w:pPr>
        <w:jc w:val="both"/>
        <w:rPr>
          <w:rFonts w:ascii="AvenirNext LT Pro Regular" w:hAnsi="AvenirNext LT Pro Regular" w:cs="Tahoma"/>
          <w:sz w:val="20"/>
          <w:szCs w:val="20"/>
        </w:rPr>
      </w:pPr>
      <w:r w:rsidRPr="00067B11">
        <w:rPr>
          <w:rFonts w:ascii="AvenirNext LT Pro Regular" w:hAnsi="AvenirNext LT Pro Regular" w:cs="Tahoma"/>
          <w:sz w:val="20"/>
          <w:szCs w:val="20"/>
        </w:rPr>
        <w:t xml:space="preserve">To put YTD 2025 into actual numbers, investing in </w:t>
      </w:r>
      <w:r>
        <w:rPr>
          <w:rFonts w:ascii="AvenirNext LT Pro Regular" w:hAnsi="AvenirNext LT Pro Regular" w:cs="Tahoma"/>
          <w:sz w:val="20"/>
          <w:szCs w:val="20"/>
        </w:rPr>
        <w:t>a broad international-developed stock benchmark like the</w:t>
      </w:r>
      <w:r w:rsidRPr="00067B11">
        <w:rPr>
          <w:rFonts w:ascii="AvenirNext LT Pro Regular" w:hAnsi="AvenirNext LT Pro Regular" w:cs="Tahoma"/>
          <w:sz w:val="20"/>
          <w:szCs w:val="20"/>
        </w:rPr>
        <w:t xml:space="preserve"> MSCI EAFE</w:t>
      </w:r>
      <w:r>
        <w:rPr>
          <w:rFonts w:ascii="AvenirNext LT Pro Regular" w:hAnsi="AvenirNext LT Pro Regular" w:cs="Tahoma"/>
          <w:sz w:val="20"/>
          <w:szCs w:val="20"/>
        </w:rPr>
        <w:t xml:space="preserve"> index</w:t>
      </w:r>
      <w:r w:rsidRPr="00067B11">
        <w:rPr>
          <w:rFonts w:ascii="AvenirNext LT Pro Regular" w:hAnsi="AvenirNext LT Pro Regular" w:cs="Tahoma"/>
          <w:sz w:val="20"/>
          <w:szCs w:val="20"/>
        </w:rPr>
        <w:t xml:space="preserve"> in local currency on a YTD basis has generated a return of 13.6%.  But </w:t>
      </w:r>
      <w:r>
        <w:rPr>
          <w:rFonts w:ascii="AvenirNext LT Pro Regular" w:hAnsi="AvenirNext LT Pro Regular" w:cs="Tahoma"/>
          <w:sz w:val="20"/>
          <w:szCs w:val="20"/>
        </w:rPr>
        <w:t>as</w:t>
      </w:r>
      <w:r w:rsidRPr="00067B11">
        <w:rPr>
          <w:rFonts w:ascii="AvenirNext LT Pro Regular" w:hAnsi="AvenirNext LT Pro Regular" w:cs="Tahoma"/>
          <w:sz w:val="20"/>
          <w:szCs w:val="20"/>
        </w:rPr>
        <w:t xml:space="preserve"> US investors, the overall decline of the US dollar YTD has been a benefit, and the return of the MSCI EAFE in USD has been much higher 25.1%.  In other words, the benefit that US investors are seeing today from a declining dollar is having the opposite impact from when the US dollar was increasing relative to a basket of other currencies.</w:t>
      </w:r>
    </w:p>
    <w:p w14:paraId="65679027" w14:textId="77777777" w:rsidR="00C418BA" w:rsidRDefault="00C418BA" w:rsidP="00C418BA">
      <w:pPr>
        <w:jc w:val="both"/>
        <w:rPr>
          <w:rFonts w:ascii="AvenirNext LT Pro Regular" w:hAnsi="AvenirNext LT Pro Regular" w:cs="Tahoma"/>
          <w:sz w:val="20"/>
          <w:szCs w:val="20"/>
        </w:rPr>
      </w:pPr>
    </w:p>
    <w:p w14:paraId="51122047" w14:textId="5C59EED6" w:rsidR="00C418BA" w:rsidRDefault="00C418BA" w:rsidP="00C418BA">
      <w:pPr>
        <w:jc w:val="both"/>
        <w:rPr>
          <w:rFonts w:ascii="AvenirNext LT Pro Regular" w:hAnsi="AvenirNext LT Pro Regular" w:cs="Tahoma"/>
          <w:sz w:val="20"/>
          <w:szCs w:val="20"/>
        </w:rPr>
      </w:pPr>
      <w:r w:rsidRPr="00067B11">
        <w:rPr>
          <w:rFonts w:ascii="AvenirNext LT Pro Regular" w:hAnsi="AvenirNext LT Pro Regular" w:cs="Tahoma"/>
          <w:sz w:val="20"/>
          <w:szCs w:val="20"/>
        </w:rPr>
        <w:t xml:space="preserve">Looking back at </w:t>
      </w:r>
      <w:r>
        <w:rPr>
          <w:rFonts w:ascii="AvenirNext LT Pro Regular" w:hAnsi="AvenirNext LT Pro Regular" w:cs="Tahoma"/>
          <w:sz w:val="20"/>
          <w:szCs w:val="20"/>
        </w:rPr>
        <w:t>market history</w:t>
      </w:r>
      <w:r w:rsidRPr="00067B11">
        <w:rPr>
          <w:rFonts w:ascii="AvenirNext LT Pro Regular" w:hAnsi="AvenirNext LT Pro Regular" w:cs="Tahoma"/>
          <w:sz w:val="20"/>
          <w:szCs w:val="20"/>
        </w:rPr>
        <w:t xml:space="preserve">, </w:t>
      </w:r>
      <w:r>
        <w:rPr>
          <w:rFonts w:ascii="AvenirNext LT Pro Regular" w:hAnsi="AvenirNext LT Pro Regular" w:cs="Tahoma"/>
          <w:sz w:val="20"/>
          <w:szCs w:val="20"/>
        </w:rPr>
        <w:t>there have been</w:t>
      </w:r>
      <w:r w:rsidRPr="00067B11">
        <w:rPr>
          <w:rFonts w:ascii="AvenirNext LT Pro Regular" w:hAnsi="AvenirNext LT Pro Regular" w:cs="Tahoma"/>
          <w:sz w:val="20"/>
          <w:szCs w:val="20"/>
        </w:rPr>
        <w:t xml:space="preserve"> periods where the dollar declined, and international developed stocks outpaced U.S. stocks on a trailing 3-year horizon sometimes by 30% or more. To be fair, the opposite is also true, but this dynamic can be helpful to those who are particularly sensitive or fearful to declines in the U.S. dollar. </w:t>
      </w:r>
    </w:p>
    <w:p w14:paraId="3F6D2427" w14:textId="77777777" w:rsidR="00C418BA" w:rsidRDefault="00C418BA" w:rsidP="00C418BA">
      <w:pPr>
        <w:jc w:val="both"/>
        <w:rPr>
          <w:rFonts w:ascii="AvenirNext LT Pro Regular" w:hAnsi="AvenirNext LT Pro Regular" w:cs="Tahoma"/>
          <w:sz w:val="20"/>
          <w:szCs w:val="20"/>
        </w:rPr>
      </w:pPr>
    </w:p>
    <w:p w14:paraId="5910B645" w14:textId="77777777" w:rsidR="00C418BA" w:rsidRDefault="00C418BA" w:rsidP="00C418BA">
      <w:pPr>
        <w:jc w:val="both"/>
        <w:rPr>
          <w:rFonts w:ascii="AvenirNext LT Pro Regular" w:hAnsi="AvenirNext LT Pro Regular" w:cs="Tahoma"/>
          <w:sz w:val="20"/>
          <w:szCs w:val="20"/>
        </w:rPr>
      </w:pPr>
      <w:r w:rsidRPr="00067B11">
        <w:rPr>
          <w:rFonts w:ascii="AvenirNext LT Pro Regular" w:hAnsi="AvenirNext LT Pro Regular" w:cs="Tahoma"/>
          <w:sz w:val="20"/>
          <w:szCs w:val="20"/>
        </w:rPr>
        <w:t xml:space="preserve">Nonetheless, the dollar remains strong today </w:t>
      </w:r>
      <w:proofErr w:type="gramStart"/>
      <w:r w:rsidRPr="00067B11">
        <w:rPr>
          <w:rFonts w:ascii="AvenirNext LT Pro Regular" w:hAnsi="AvenirNext LT Pro Regular" w:cs="Tahoma"/>
          <w:sz w:val="20"/>
          <w:szCs w:val="20"/>
        </w:rPr>
        <w:t>relative</w:t>
      </w:r>
      <w:proofErr w:type="gramEnd"/>
      <w:r w:rsidRPr="00067B11">
        <w:rPr>
          <w:rFonts w:ascii="AvenirNext LT Pro Regular" w:hAnsi="AvenirNext LT Pro Regular" w:cs="Tahoma"/>
          <w:sz w:val="20"/>
          <w:szCs w:val="20"/>
        </w:rPr>
        <w:t xml:space="preserve"> to the last 20 years.</w:t>
      </w:r>
    </w:p>
    <w:p w14:paraId="712D678E" w14:textId="77777777" w:rsidR="00C418BA" w:rsidRDefault="00C418BA" w:rsidP="00C418BA">
      <w:pPr>
        <w:jc w:val="both"/>
        <w:rPr>
          <w:rFonts w:ascii="AvenirNext LT Pro Regular" w:hAnsi="AvenirNext LT Pro Regular" w:cs="Tahoma"/>
          <w:sz w:val="20"/>
          <w:szCs w:val="20"/>
        </w:rPr>
      </w:pPr>
    </w:p>
    <w:p w14:paraId="75EAA167"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Shifting to the</w:t>
      </w:r>
      <w:r w:rsidRPr="00A6191F">
        <w:rPr>
          <w:rFonts w:ascii="AvenirNext LT Pro Regular" w:hAnsi="AvenirNext LT Pro Regular" w:cs="Tahoma"/>
          <w:sz w:val="20"/>
          <w:szCs w:val="20"/>
        </w:rPr>
        <w:t xml:space="preserve"> next</w:t>
      </w:r>
      <w:r>
        <w:rPr>
          <w:rFonts w:ascii="AvenirNext LT Pro Regular" w:hAnsi="AvenirNext LT Pro Regular" w:cs="Tahoma"/>
          <w:sz w:val="20"/>
          <w:szCs w:val="20"/>
        </w:rPr>
        <w:t xml:space="preserve"> forward-looking,</w:t>
      </w:r>
      <w:r w:rsidRPr="00A6191F">
        <w:rPr>
          <w:rFonts w:ascii="AvenirNext LT Pro Regular" w:hAnsi="AvenirNext LT Pro Regular" w:cs="Tahoma"/>
          <w:sz w:val="20"/>
          <w:szCs w:val="20"/>
        </w:rPr>
        <w:t xml:space="preserve"> long-term horizon, movements in the U.S. dollar and all other currencies tend to wash out over time in terms of their impact on returns. But recent valuations compared to history give clues as to where returns might come from in the future.  </w:t>
      </w:r>
    </w:p>
    <w:p w14:paraId="453EDF22" w14:textId="77777777" w:rsidR="00C418BA" w:rsidRDefault="00C418BA" w:rsidP="00C418BA">
      <w:pPr>
        <w:jc w:val="both"/>
        <w:rPr>
          <w:rFonts w:ascii="AvenirNext LT Pro Regular" w:hAnsi="AvenirNext LT Pro Regular" w:cs="Tahoma"/>
          <w:sz w:val="20"/>
          <w:szCs w:val="20"/>
        </w:rPr>
      </w:pPr>
    </w:p>
    <w:p w14:paraId="1802F8CA" w14:textId="77777777" w:rsidR="00C418BA" w:rsidRPr="00A6191F" w:rsidRDefault="00C418BA" w:rsidP="00C418BA">
      <w:pPr>
        <w:jc w:val="both"/>
        <w:rPr>
          <w:rFonts w:ascii="AvenirNext LT Pro Regular" w:hAnsi="AvenirNext LT Pro Regular" w:cs="Tahoma"/>
          <w:sz w:val="20"/>
          <w:szCs w:val="20"/>
        </w:rPr>
      </w:pPr>
      <w:r w:rsidRPr="00A6191F">
        <w:rPr>
          <w:rFonts w:ascii="AvenirNext LT Pro Regular" w:hAnsi="AvenirNext LT Pro Regular" w:cs="Tahoma"/>
          <w:sz w:val="20"/>
          <w:szCs w:val="20"/>
        </w:rPr>
        <w:t>To put it simply, the higher valuations are today, the lower expected future returns are during the next long-term period.</w:t>
      </w:r>
      <w:r>
        <w:rPr>
          <w:rFonts w:ascii="AvenirNext LT Pro Regular" w:hAnsi="AvenirNext LT Pro Regular" w:cs="Tahoma"/>
          <w:sz w:val="20"/>
          <w:szCs w:val="20"/>
        </w:rPr>
        <w:t xml:space="preserve"> Starting around 2008-2009 during the tail end of the Great Financial Crisis, U.S. and international stock </w:t>
      </w:r>
      <w:r>
        <w:rPr>
          <w:rFonts w:ascii="AvenirNext LT Pro Regular" w:hAnsi="AvenirNext LT Pro Regular" w:cs="Tahoma"/>
          <w:sz w:val="20"/>
          <w:szCs w:val="20"/>
        </w:rPr>
        <w:lastRenderedPageBreak/>
        <w:t xml:space="preserve">markets were valued roughly the same. But, as all investors are </w:t>
      </w:r>
      <w:proofErr w:type="gramStart"/>
      <w:r>
        <w:rPr>
          <w:rFonts w:ascii="AvenirNext LT Pro Regular" w:hAnsi="AvenirNext LT Pro Regular" w:cs="Tahoma"/>
          <w:sz w:val="20"/>
          <w:szCs w:val="20"/>
        </w:rPr>
        <w:t>well aware</w:t>
      </w:r>
      <w:proofErr w:type="gramEnd"/>
      <w:r>
        <w:rPr>
          <w:rFonts w:ascii="AvenirNext LT Pro Regular" w:hAnsi="AvenirNext LT Pro Regular" w:cs="Tahoma"/>
          <w:sz w:val="20"/>
          <w:szCs w:val="20"/>
        </w:rPr>
        <w:t xml:space="preserve">, the U.S. stock market then began its decade-plus-long period of outperformance relative to international stocks. </w:t>
      </w:r>
      <w:r w:rsidRPr="00A6191F">
        <w:rPr>
          <w:rFonts w:ascii="AvenirNext LT Pro Regular" w:hAnsi="AvenirNext LT Pro Regular" w:cs="Tahoma"/>
          <w:sz w:val="20"/>
          <w:szCs w:val="20"/>
        </w:rPr>
        <w:t xml:space="preserve"> U.S. stocks have become about 50% more expensive relative to international stocks going forward. And while anything can happen in the short-term, history tells us that U.S. stocks are unlikely to repeat their dramatic outperformance over the next long-term period.</w:t>
      </w:r>
    </w:p>
    <w:p w14:paraId="450F2444" w14:textId="77777777" w:rsidR="00C418BA" w:rsidRDefault="00C418BA" w:rsidP="00C418BA">
      <w:pPr>
        <w:jc w:val="both"/>
        <w:rPr>
          <w:rFonts w:ascii="AvenirNext LT Pro Regular" w:hAnsi="AvenirNext LT Pro Regular" w:cs="Tahoma"/>
          <w:b/>
          <w:sz w:val="20"/>
          <w:szCs w:val="20"/>
          <w:u w:val="single"/>
        </w:rPr>
      </w:pPr>
    </w:p>
    <w:p w14:paraId="70EF1818" w14:textId="77777777" w:rsidR="00C418BA" w:rsidRDefault="00C418BA" w:rsidP="00C418BA">
      <w:pPr>
        <w:jc w:val="both"/>
        <w:rPr>
          <w:rFonts w:ascii="AvenirNext LT Pro Regular" w:hAnsi="AvenirNext LT Pro Regular" w:cs="Tahoma"/>
          <w:b/>
          <w:sz w:val="20"/>
          <w:szCs w:val="20"/>
          <w:u w:val="single"/>
        </w:rPr>
      </w:pPr>
    </w:p>
    <w:p w14:paraId="1F7C574B" w14:textId="77777777" w:rsidR="00C418BA" w:rsidRPr="000A3D0C" w:rsidRDefault="00C418BA" w:rsidP="00C418BA">
      <w:pPr>
        <w:jc w:val="both"/>
        <w:rPr>
          <w:rFonts w:ascii="AvenirNext LT Pro Regular" w:hAnsi="AvenirNext LT Pro Regular" w:cs="Tahoma"/>
          <w:b/>
          <w:sz w:val="20"/>
          <w:szCs w:val="20"/>
          <w:u w:val="single"/>
        </w:rPr>
      </w:pPr>
      <w:r w:rsidRPr="000A3D0C">
        <w:rPr>
          <w:rFonts w:ascii="AvenirNext LT Pro Regular" w:hAnsi="AvenirNext LT Pro Regular" w:cs="Tahoma"/>
          <w:b/>
          <w:sz w:val="20"/>
          <w:szCs w:val="20"/>
          <w:u w:val="single"/>
        </w:rPr>
        <w:t>Global REITs</w:t>
      </w:r>
      <w:r>
        <w:rPr>
          <w:rFonts w:ascii="AvenirNext LT Pro Regular" w:hAnsi="AvenirNext LT Pro Regular" w:cs="Tahoma"/>
          <w:b/>
          <w:sz w:val="20"/>
          <w:szCs w:val="20"/>
          <w:u w:val="single"/>
        </w:rPr>
        <w:t xml:space="preserve"> (Real Estate Investment Trusts)</w:t>
      </w:r>
    </w:p>
    <w:p w14:paraId="002D946B" w14:textId="77777777" w:rsidR="00C418BA" w:rsidRPr="000A3D0C" w:rsidRDefault="00C418BA" w:rsidP="00C418BA">
      <w:pPr>
        <w:jc w:val="both"/>
        <w:rPr>
          <w:rFonts w:ascii="AvenirNext LT Pro Regular" w:hAnsi="AvenirNext LT Pro Regular" w:cs="Tahoma"/>
          <w:sz w:val="20"/>
          <w:szCs w:val="20"/>
        </w:rPr>
      </w:pPr>
    </w:p>
    <w:p w14:paraId="6FA37AE0" w14:textId="77777777" w:rsidR="00C418BA" w:rsidRPr="000A3D0C" w:rsidRDefault="00C418BA" w:rsidP="00C418BA">
      <w:pPr>
        <w:pStyle w:val="ListParagraph"/>
        <w:numPr>
          <w:ilvl w:val="0"/>
          <w:numId w:val="11"/>
        </w:numPr>
        <w:jc w:val="both"/>
        <w:rPr>
          <w:rFonts w:ascii="AvenirNext LT Pro Regular" w:hAnsi="AvenirNext LT Pro Regular" w:cs="Tahoma"/>
          <w:sz w:val="20"/>
          <w:szCs w:val="20"/>
        </w:rPr>
      </w:pPr>
      <w:r w:rsidRPr="000A3D0C">
        <w:rPr>
          <w:rFonts w:ascii="AvenirNext LT Pro Regular" w:hAnsi="AvenirNext LT Pro Regular" w:cs="Tahoma"/>
          <w:sz w:val="20"/>
          <w:szCs w:val="20"/>
        </w:rPr>
        <w:t xml:space="preserve">Global REITs, as represented by the Dow Jones Global Select REIT, </w:t>
      </w:r>
      <w:r>
        <w:rPr>
          <w:rFonts w:ascii="AvenirNext LT Pro Regular" w:hAnsi="AvenirNext LT Pro Regular" w:cs="Tahoma"/>
          <w:sz w:val="20"/>
          <w:szCs w:val="20"/>
        </w:rPr>
        <w:t xml:space="preserve">rose by 4.8% over the quarter but were down by -0.2% over the last 12 months. </w:t>
      </w:r>
    </w:p>
    <w:p w14:paraId="6DADD172" w14:textId="77777777" w:rsidR="00C418BA" w:rsidRPr="00060C9E" w:rsidRDefault="00C418BA" w:rsidP="00C418BA">
      <w:pPr>
        <w:pStyle w:val="ListParagraph"/>
        <w:numPr>
          <w:ilvl w:val="0"/>
          <w:numId w:val="11"/>
        </w:numPr>
        <w:jc w:val="both"/>
        <w:rPr>
          <w:rFonts w:ascii="AvenirNext LT Pro Regular" w:hAnsi="AvenirNext LT Pro Regular" w:cs="Tahoma"/>
          <w:sz w:val="20"/>
          <w:szCs w:val="20"/>
        </w:rPr>
      </w:pPr>
      <w:r w:rsidRPr="00060C9E">
        <w:rPr>
          <w:rFonts w:ascii="AvenirNext LT Pro Regular" w:hAnsi="AvenirNext LT Pro Regular" w:cs="Tahoma"/>
          <w:sz w:val="20"/>
          <w:szCs w:val="20"/>
        </w:rPr>
        <w:t xml:space="preserve">In the US, </w:t>
      </w:r>
      <w:r>
        <w:rPr>
          <w:rFonts w:ascii="AvenirNext LT Pro Regular" w:hAnsi="AvenirNext LT Pro Regular" w:cs="Tahoma"/>
          <w:sz w:val="20"/>
          <w:szCs w:val="20"/>
        </w:rPr>
        <w:t>REITs rose by 5.1% during the quarter but are down by -1.7% during the last 12 months.</w:t>
      </w:r>
    </w:p>
    <w:p w14:paraId="4048E432" w14:textId="77777777" w:rsidR="00C418BA" w:rsidRDefault="00C418BA" w:rsidP="00C418BA">
      <w:pPr>
        <w:jc w:val="both"/>
        <w:rPr>
          <w:rFonts w:ascii="AvenirNext LT Pro Regular" w:hAnsi="AvenirNext LT Pro Regular" w:cs="Tahoma"/>
          <w:b/>
          <w:sz w:val="20"/>
          <w:szCs w:val="20"/>
          <w:u w:val="single"/>
        </w:rPr>
      </w:pPr>
    </w:p>
    <w:p w14:paraId="47672DA7" w14:textId="77777777" w:rsidR="00C418BA" w:rsidRPr="00787E2D" w:rsidRDefault="00C418BA" w:rsidP="00C418BA">
      <w:pPr>
        <w:jc w:val="both"/>
        <w:rPr>
          <w:rFonts w:ascii="AvenirNext LT Pro Regular" w:hAnsi="AvenirNext LT Pro Regular" w:cs="Tahoma"/>
          <w:b/>
          <w:sz w:val="20"/>
          <w:szCs w:val="20"/>
          <w:u w:val="single"/>
        </w:rPr>
      </w:pPr>
      <w:bookmarkStart w:id="1" w:name="_Hlk203038352"/>
      <w:r w:rsidRPr="00787E2D">
        <w:rPr>
          <w:rFonts w:ascii="AvenirNext LT Pro Regular" w:hAnsi="AvenirNext LT Pro Regular" w:cs="Tahoma"/>
          <w:b/>
          <w:sz w:val="20"/>
          <w:szCs w:val="20"/>
          <w:u w:val="single"/>
        </w:rPr>
        <w:t>Global Fixed Income</w:t>
      </w:r>
    </w:p>
    <w:bookmarkEnd w:id="1"/>
    <w:p w14:paraId="5C4F3130" w14:textId="77777777" w:rsidR="00C418BA" w:rsidRPr="00787E2D" w:rsidRDefault="00C418BA" w:rsidP="00C418BA">
      <w:pPr>
        <w:jc w:val="both"/>
        <w:rPr>
          <w:rFonts w:ascii="AvenirNext LT Pro Regular" w:hAnsi="AvenirNext LT Pro Regular" w:cs="Tahoma"/>
          <w:sz w:val="20"/>
          <w:szCs w:val="20"/>
          <w:u w:val="single"/>
        </w:rPr>
      </w:pPr>
    </w:p>
    <w:p w14:paraId="651EF040" w14:textId="77777777" w:rsidR="00C418BA" w:rsidRDefault="00C418BA" w:rsidP="00C418BA">
      <w:pPr>
        <w:pStyle w:val="ListParagraph"/>
        <w:numPr>
          <w:ilvl w:val="0"/>
          <w:numId w:val="12"/>
        </w:numPr>
        <w:jc w:val="both"/>
        <w:rPr>
          <w:rFonts w:ascii="AvenirNext LT Pro Regular" w:hAnsi="AvenirNext LT Pro Regular" w:cs="Tahoma"/>
          <w:sz w:val="20"/>
          <w:szCs w:val="20"/>
        </w:rPr>
      </w:pPr>
      <w:r>
        <w:rPr>
          <w:rFonts w:ascii="AvenirNext LT Pro Regular" w:hAnsi="AvenirNext LT Pro Regular" w:cs="Tahoma"/>
          <w:sz w:val="20"/>
          <w:szCs w:val="20"/>
        </w:rPr>
        <w:t xml:space="preserve">U.S. taxable bond returns were positive during Q3, YTD, and 12-month periods with intermediate corporate bonds gaining the most during the quarter at 2.7% and short-term inflation-protected bonds gaining the most during the last year at 5.7%. </w:t>
      </w:r>
    </w:p>
    <w:p w14:paraId="6EF3C414" w14:textId="77777777" w:rsidR="00C418BA" w:rsidRDefault="00C418BA" w:rsidP="00C418BA">
      <w:pPr>
        <w:pStyle w:val="ListParagraph"/>
        <w:numPr>
          <w:ilvl w:val="0"/>
          <w:numId w:val="12"/>
        </w:numPr>
        <w:jc w:val="both"/>
        <w:rPr>
          <w:rFonts w:ascii="AvenirNext LT Pro Regular" w:hAnsi="AvenirNext LT Pro Regular" w:cs="Tahoma"/>
          <w:sz w:val="20"/>
          <w:szCs w:val="20"/>
        </w:rPr>
      </w:pPr>
      <w:r>
        <w:rPr>
          <w:rFonts w:ascii="AvenirNext LT Pro Regular" w:hAnsi="AvenirNext LT Pro Regular" w:cs="Tahoma"/>
          <w:sz w:val="20"/>
          <w:szCs w:val="20"/>
        </w:rPr>
        <w:t>Global bonds ex-US (hedged USD) were also positive over the trailing quarter (0.5%) and 12-month periods (3.0%).</w:t>
      </w:r>
    </w:p>
    <w:p w14:paraId="18B624A3" w14:textId="77777777" w:rsidR="00C418BA" w:rsidRDefault="00C418BA" w:rsidP="00C418BA">
      <w:pPr>
        <w:pStyle w:val="ListParagraph"/>
        <w:numPr>
          <w:ilvl w:val="0"/>
          <w:numId w:val="12"/>
        </w:numPr>
        <w:jc w:val="both"/>
        <w:rPr>
          <w:rFonts w:ascii="AvenirNext LT Pro Regular" w:hAnsi="AvenirNext LT Pro Regular" w:cs="Tahoma"/>
          <w:sz w:val="20"/>
          <w:szCs w:val="20"/>
        </w:rPr>
      </w:pPr>
      <w:r>
        <w:rPr>
          <w:rFonts w:ascii="AvenirNext LT Pro Regular" w:hAnsi="AvenirNext LT Pro Regular" w:cs="Tahoma"/>
          <w:sz w:val="20"/>
          <w:szCs w:val="20"/>
        </w:rPr>
        <w:t xml:space="preserve">Short-to-intermediate-term municipal bonds were also positive for the quarter and one-year trailing time periods with intermediate-term </w:t>
      </w:r>
      <w:proofErr w:type="spellStart"/>
      <w:r>
        <w:rPr>
          <w:rFonts w:ascii="AvenirNext LT Pro Regular" w:hAnsi="AvenirNext LT Pro Regular" w:cs="Tahoma"/>
          <w:sz w:val="20"/>
          <w:szCs w:val="20"/>
        </w:rPr>
        <w:t>munis</w:t>
      </w:r>
      <w:proofErr w:type="spellEnd"/>
      <w:r>
        <w:rPr>
          <w:rFonts w:ascii="AvenirNext LT Pro Regular" w:hAnsi="AvenirNext LT Pro Regular" w:cs="Tahoma"/>
          <w:sz w:val="20"/>
          <w:szCs w:val="20"/>
        </w:rPr>
        <w:t xml:space="preserve"> up 3.3% for the last 12 months.     </w:t>
      </w:r>
    </w:p>
    <w:p w14:paraId="1EA82DF3" w14:textId="77777777" w:rsidR="00C418BA" w:rsidRDefault="00C418BA" w:rsidP="00C418BA">
      <w:pPr>
        <w:jc w:val="both"/>
        <w:rPr>
          <w:rFonts w:ascii="AvenirNext LT Pro Regular" w:hAnsi="AvenirNext LT Pro Regular" w:cs="Tahoma"/>
          <w:sz w:val="20"/>
          <w:szCs w:val="20"/>
        </w:rPr>
      </w:pPr>
    </w:p>
    <w:p w14:paraId="34F7879D" w14:textId="77777777" w:rsidR="00C418BA" w:rsidRDefault="00C418BA" w:rsidP="00C418BA">
      <w:pPr>
        <w:jc w:val="both"/>
        <w:rPr>
          <w:rFonts w:ascii="AvenirNext LT Pro Regular" w:hAnsi="AvenirNext LT Pro Regular" w:cs="Tahoma"/>
          <w:b/>
          <w:sz w:val="20"/>
          <w:szCs w:val="20"/>
          <w:u w:val="single"/>
        </w:rPr>
      </w:pPr>
    </w:p>
    <w:p w14:paraId="171A5EB1"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 xml:space="preserve">Focusing on recent Treasury yield curve changes in Exhibit 4, </w:t>
      </w:r>
      <w:r w:rsidRPr="008F71C8">
        <w:rPr>
          <w:rFonts w:ascii="AvenirNext LT Pro Regular" w:hAnsi="AvenirNext LT Pro Regular" w:cs="Tahoma"/>
          <w:sz w:val="20"/>
          <w:szCs w:val="20"/>
        </w:rPr>
        <w:t>compared to last quarter end, short term rates</w:t>
      </w:r>
      <w:r>
        <w:rPr>
          <w:rFonts w:ascii="AvenirNext LT Pro Regular" w:hAnsi="AvenirNext LT Pro Regular" w:cs="Tahoma"/>
          <w:sz w:val="20"/>
          <w:szCs w:val="20"/>
        </w:rPr>
        <w:t xml:space="preserve">, </w:t>
      </w:r>
      <w:r w:rsidRPr="008F71C8">
        <w:rPr>
          <w:rFonts w:ascii="AvenirNext LT Pro Regular" w:hAnsi="AvenirNext LT Pro Regular" w:cs="Tahoma"/>
          <w:sz w:val="20"/>
          <w:szCs w:val="20"/>
        </w:rPr>
        <w:t>which the Fed controls</w:t>
      </w:r>
      <w:r>
        <w:rPr>
          <w:rFonts w:ascii="AvenirNext LT Pro Regular" w:hAnsi="AvenirNext LT Pro Regular" w:cs="Tahoma"/>
          <w:sz w:val="20"/>
          <w:szCs w:val="20"/>
        </w:rPr>
        <w:t>,</w:t>
      </w:r>
      <w:r w:rsidRPr="008F71C8">
        <w:rPr>
          <w:rFonts w:ascii="AvenirNext LT Pro Regular" w:hAnsi="AvenirNext LT Pro Regular" w:cs="Tahoma"/>
          <w:sz w:val="20"/>
          <w:szCs w:val="20"/>
        </w:rPr>
        <w:t xml:space="preserve"> fell over the quarter while longer term yields remained largely unchanged.  You can also see that the shorter portion of the curve is still flat-to-inverted but begins to steepen on the longer end. Short-term yields dropped while intermediate and longer-term yields rose over the 12</w:t>
      </w:r>
      <w:r>
        <w:rPr>
          <w:rFonts w:ascii="AvenirNext LT Pro Regular" w:hAnsi="AvenirNext LT Pro Regular" w:cs="Tahoma"/>
          <w:sz w:val="20"/>
          <w:szCs w:val="20"/>
        </w:rPr>
        <w:t xml:space="preserve"> </w:t>
      </w:r>
      <w:r w:rsidRPr="008F71C8">
        <w:rPr>
          <w:rFonts w:ascii="AvenirNext LT Pro Regular" w:hAnsi="AvenirNext LT Pro Regular" w:cs="Tahoma"/>
          <w:sz w:val="20"/>
          <w:szCs w:val="20"/>
        </w:rPr>
        <w:t xml:space="preserve">months ending September 30, hence the positive relative performance </w:t>
      </w:r>
      <w:r>
        <w:rPr>
          <w:rFonts w:ascii="AvenirNext LT Pro Regular" w:hAnsi="AvenirNext LT Pro Regular" w:cs="Tahoma"/>
          <w:sz w:val="20"/>
          <w:szCs w:val="20"/>
        </w:rPr>
        <w:t xml:space="preserve">previously mentioned.  </w:t>
      </w:r>
    </w:p>
    <w:p w14:paraId="69AF58CE" w14:textId="77777777" w:rsidR="00C418BA" w:rsidRDefault="00C418BA" w:rsidP="00C418BA">
      <w:pPr>
        <w:jc w:val="both"/>
        <w:rPr>
          <w:rFonts w:ascii="AvenirNext LT Pro Regular" w:hAnsi="AvenirNext LT Pro Regular" w:cs="Tahoma"/>
          <w:sz w:val="20"/>
          <w:szCs w:val="20"/>
        </w:rPr>
      </w:pPr>
    </w:p>
    <w:p w14:paraId="06EED2FF" w14:textId="77777777" w:rsidR="00C418BA" w:rsidRDefault="00C418BA" w:rsidP="00C418BA">
      <w:pPr>
        <w:jc w:val="both"/>
        <w:rPr>
          <w:rFonts w:ascii="AvenirNext LT Pro Regular" w:hAnsi="AvenirNext LT Pro Regular" w:cs="Tahoma"/>
          <w:sz w:val="20"/>
          <w:szCs w:val="20"/>
        </w:rPr>
      </w:pPr>
    </w:p>
    <w:p w14:paraId="1321334B" w14:textId="77777777" w:rsidR="00C418BA" w:rsidRDefault="00C418BA" w:rsidP="00C418BA">
      <w:pPr>
        <w:jc w:val="both"/>
        <w:rPr>
          <w:rFonts w:ascii="AvenirNext LT Pro Regular" w:hAnsi="AvenirNext LT Pro Regular" w:cs="Tahoma"/>
          <w:sz w:val="20"/>
          <w:szCs w:val="20"/>
        </w:rPr>
      </w:pPr>
    </w:p>
    <w:p w14:paraId="7BB96FA0" w14:textId="77777777" w:rsidR="00C418BA" w:rsidRDefault="00C418BA" w:rsidP="00C418BA">
      <w:pPr>
        <w:jc w:val="both"/>
        <w:rPr>
          <w:rFonts w:ascii="AvenirNext LT Pro Regular" w:hAnsi="AvenirNext LT Pro Regular" w:cs="Tahoma"/>
          <w:sz w:val="20"/>
          <w:szCs w:val="20"/>
        </w:rPr>
      </w:pPr>
    </w:p>
    <w:p w14:paraId="13FC53D9" w14:textId="77777777" w:rsidR="00C418BA" w:rsidRDefault="00C418BA" w:rsidP="00C418BA">
      <w:pPr>
        <w:jc w:val="both"/>
        <w:rPr>
          <w:rFonts w:ascii="AvenirNext LT Pro Regular" w:hAnsi="AvenirNext LT Pro Regular" w:cs="Tahoma"/>
          <w:sz w:val="20"/>
          <w:szCs w:val="20"/>
        </w:rPr>
      </w:pPr>
    </w:p>
    <w:p w14:paraId="52297616" w14:textId="77777777" w:rsidR="00C418BA" w:rsidRDefault="00C418BA" w:rsidP="00C418BA">
      <w:pPr>
        <w:jc w:val="both"/>
        <w:rPr>
          <w:rFonts w:ascii="AvenirNext LT Pro Regular" w:hAnsi="AvenirNext LT Pro Regular" w:cs="Tahoma"/>
          <w:sz w:val="20"/>
          <w:szCs w:val="20"/>
        </w:rPr>
      </w:pPr>
    </w:p>
    <w:p w14:paraId="1BA4040F" w14:textId="77777777" w:rsidR="00C418BA" w:rsidRDefault="00C418BA" w:rsidP="00C418BA">
      <w:pPr>
        <w:jc w:val="both"/>
        <w:rPr>
          <w:rFonts w:ascii="AvenirNext LT Pro Regular" w:hAnsi="AvenirNext LT Pro Regular" w:cs="Tahoma"/>
          <w:sz w:val="20"/>
          <w:szCs w:val="20"/>
        </w:rPr>
      </w:pPr>
    </w:p>
    <w:p w14:paraId="7E3C73A9" w14:textId="77777777" w:rsidR="00C418BA" w:rsidRDefault="00C418BA" w:rsidP="00C418BA">
      <w:pPr>
        <w:jc w:val="both"/>
        <w:rPr>
          <w:rFonts w:ascii="AvenirNext LT Pro Regular" w:hAnsi="AvenirNext LT Pro Regular" w:cs="Tahoma"/>
          <w:sz w:val="20"/>
          <w:szCs w:val="20"/>
        </w:rPr>
      </w:pPr>
    </w:p>
    <w:p w14:paraId="702E0DC8" w14:textId="77777777" w:rsidR="00C418BA" w:rsidRDefault="00C418BA" w:rsidP="00C418BA">
      <w:pPr>
        <w:jc w:val="both"/>
        <w:rPr>
          <w:rFonts w:ascii="AvenirNext LT Pro Regular" w:hAnsi="AvenirNext LT Pro Regular" w:cs="Tahoma"/>
          <w:sz w:val="20"/>
          <w:szCs w:val="20"/>
        </w:rPr>
      </w:pPr>
    </w:p>
    <w:p w14:paraId="31D3A75F" w14:textId="77777777" w:rsidR="00C418BA" w:rsidRDefault="00C418BA" w:rsidP="00C418BA">
      <w:pPr>
        <w:jc w:val="both"/>
        <w:rPr>
          <w:rFonts w:ascii="AvenirNext LT Pro Regular" w:hAnsi="AvenirNext LT Pro Regular" w:cs="Tahoma"/>
          <w:sz w:val="20"/>
          <w:szCs w:val="20"/>
        </w:rPr>
      </w:pPr>
    </w:p>
    <w:p w14:paraId="1FC8A8C7" w14:textId="77777777" w:rsidR="00C418BA" w:rsidRDefault="00C418BA" w:rsidP="00C418BA">
      <w:pPr>
        <w:jc w:val="both"/>
        <w:rPr>
          <w:rFonts w:ascii="AvenirNext LT Pro Regular" w:hAnsi="AvenirNext LT Pro Regular" w:cs="Tahoma"/>
          <w:sz w:val="20"/>
          <w:szCs w:val="20"/>
        </w:rPr>
      </w:pPr>
    </w:p>
    <w:p w14:paraId="6FFF95C9" w14:textId="77777777" w:rsidR="00C418BA" w:rsidRDefault="00C418BA" w:rsidP="00C418BA">
      <w:pPr>
        <w:jc w:val="both"/>
        <w:rPr>
          <w:rFonts w:ascii="AvenirNext LT Pro Regular" w:hAnsi="AvenirNext LT Pro Regular" w:cs="Tahoma"/>
          <w:sz w:val="20"/>
          <w:szCs w:val="20"/>
        </w:rPr>
      </w:pPr>
    </w:p>
    <w:p w14:paraId="3B222267"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Exhibit 4</w:t>
      </w:r>
    </w:p>
    <w:p w14:paraId="278E8FED" w14:textId="77777777" w:rsidR="00C418BA" w:rsidRPr="00CA67DF" w:rsidRDefault="00C418BA" w:rsidP="00C418BA">
      <w:pPr>
        <w:jc w:val="both"/>
        <w:rPr>
          <w:rFonts w:ascii="AvenirNext LT Pro Regular" w:hAnsi="AvenirNext LT Pro Regular" w:cs="Tahoma"/>
          <w:sz w:val="20"/>
          <w:szCs w:val="20"/>
        </w:rPr>
      </w:pPr>
      <w:r w:rsidRPr="00027D70">
        <w:rPr>
          <w:rFonts w:ascii="AvenirNext LT Pro Regular" w:hAnsi="AvenirNext LT Pro Regular" w:cs="Tahoma"/>
          <w:noProof/>
          <w:sz w:val="20"/>
          <w:szCs w:val="20"/>
        </w:rPr>
        <w:drawing>
          <wp:inline distT="0" distB="0" distL="0" distR="0" wp14:anchorId="01ACA54E" wp14:editId="574E42FA">
            <wp:extent cx="2971800" cy="2036445"/>
            <wp:effectExtent l="0" t="0" r="0" b="1905"/>
            <wp:docPr id="11" name="Picture 10" descr="A graph of a company's yield&#10;&#10;AI-generated content may be incorrect.">
              <a:extLst xmlns:a="http://schemas.openxmlformats.org/drawingml/2006/main">
                <a:ext uri="{FF2B5EF4-FFF2-40B4-BE49-F238E27FC236}">
                  <a16:creationId xmlns:a16="http://schemas.microsoft.com/office/drawing/2014/main" id="{E155E316-CDF5-0865-F6E0-9ADBF87EEC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graph of a company's yield&#10;&#10;AI-generated content may be incorrect.">
                      <a:extLst>
                        <a:ext uri="{FF2B5EF4-FFF2-40B4-BE49-F238E27FC236}">
                          <a16:creationId xmlns:a16="http://schemas.microsoft.com/office/drawing/2014/main" id="{E155E316-CDF5-0865-F6E0-9ADBF87EEC67}"/>
                        </a:ext>
                      </a:extLst>
                    </pic:cNvPr>
                    <pic:cNvPicPr>
                      <a:picLocks noChangeAspect="1"/>
                    </pic:cNvPicPr>
                  </pic:nvPicPr>
                  <pic:blipFill>
                    <a:blip r:embed="rId15"/>
                    <a:srcRect/>
                    <a:stretch/>
                  </pic:blipFill>
                  <pic:spPr>
                    <a:xfrm>
                      <a:off x="0" y="0"/>
                      <a:ext cx="2971800" cy="2036445"/>
                    </a:xfrm>
                    <a:prstGeom prst="rect">
                      <a:avLst/>
                    </a:prstGeom>
                  </pic:spPr>
                </pic:pic>
              </a:graphicData>
            </a:graphic>
          </wp:inline>
        </w:drawing>
      </w:r>
      <w:r w:rsidRPr="001C3301">
        <w:rPr>
          <w:rFonts w:ascii="AvenirNext LT Pro Regular" w:hAnsi="AvenirNext LT Pro Regular" w:cs="Tahoma"/>
          <w:sz w:val="16"/>
          <w:szCs w:val="16"/>
        </w:rPr>
        <w:t xml:space="preserve">Source: Bloomberg, </w:t>
      </w:r>
      <w:proofErr w:type="spellStart"/>
      <w:r w:rsidRPr="001C3301">
        <w:rPr>
          <w:rFonts w:ascii="AvenirNext LT Pro Regular" w:hAnsi="AvenirNext LT Pro Regular" w:cs="Tahoma"/>
          <w:sz w:val="16"/>
          <w:szCs w:val="16"/>
        </w:rPr>
        <w:t>Avantis</w:t>
      </w:r>
      <w:proofErr w:type="spellEnd"/>
      <w:r w:rsidRPr="001C3301">
        <w:rPr>
          <w:rFonts w:ascii="AvenirNext LT Pro Regular" w:hAnsi="AvenirNext LT Pro Regular" w:cs="Tahoma"/>
          <w:sz w:val="16"/>
          <w:szCs w:val="16"/>
        </w:rPr>
        <w:t xml:space="preserve">.  Data as of </w:t>
      </w:r>
      <w:r>
        <w:rPr>
          <w:rFonts w:ascii="AvenirNext LT Pro Regular" w:hAnsi="AvenirNext LT Pro Regular" w:cs="Tahoma"/>
          <w:sz w:val="16"/>
          <w:szCs w:val="16"/>
        </w:rPr>
        <w:t>9/30/2025</w:t>
      </w:r>
    </w:p>
    <w:p w14:paraId="23344E04" w14:textId="77777777" w:rsidR="00C418BA" w:rsidRDefault="00C418BA" w:rsidP="00C418BA">
      <w:pPr>
        <w:jc w:val="both"/>
        <w:rPr>
          <w:rFonts w:ascii="AvenirNext LT Pro Regular" w:hAnsi="AvenirNext LT Pro Regular" w:cs="Tahoma"/>
          <w:sz w:val="20"/>
          <w:szCs w:val="20"/>
        </w:rPr>
      </w:pPr>
    </w:p>
    <w:p w14:paraId="28A1BDE8" w14:textId="19ED831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Regarding municipal bonds in Exhibit 5, short-to-intermediate bonds were positive for the quarter, YTD, and trailing one-year periods. However, longer dated maturities rose during the last 12 months as rates moved higher, which led to a steeper municipal yield curve overall and impacted on long-dated Muni performance during that period. This highlights the fact that Treasuries and municipal bonds behave differently as they are exposed to different risks.</w:t>
      </w:r>
    </w:p>
    <w:p w14:paraId="5FFF2793" w14:textId="77777777" w:rsidR="00C418BA" w:rsidRDefault="00C418BA" w:rsidP="00C418BA">
      <w:pPr>
        <w:jc w:val="both"/>
        <w:rPr>
          <w:rFonts w:ascii="AvenirNext LT Pro Regular" w:hAnsi="AvenirNext LT Pro Regular" w:cs="Tahoma"/>
          <w:sz w:val="20"/>
          <w:szCs w:val="20"/>
        </w:rPr>
      </w:pPr>
    </w:p>
    <w:p w14:paraId="5A9E1861"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Exhibit 5</w:t>
      </w:r>
    </w:p>
    <w:p w14:paraId="7E1A233E" w14:textId="77777777" w:rsidR="00C418BA" w:rsidRDefault="00C418BA" w:rsidP="00C418BA">
      <w:pPr>
        <w:jc w:val="both"/>
        <w:rPr>
          <w:rFonts w:ascii="AvenirNext LT Pro Regular" w:hAnsi="AvenirNext LT Pro Regular" w:cs="Tahoma"/>
          <w:sz w:val="20"/>
          <w:szCs w:val="20"/>
        </w:rPr>
      </w:pPr>
      <w:r w:rsidRPr="004B0F62">
        <w:rPr>
          <w:rFonts w:ascii="AvenirNext LT Pro Regular" w:hAnsi="AvenirNext LT Pro Regular" w:cs="Tahoma"/>
          <w:noProof/>
          <w:sz w:val="20"/>
          <w:szCs w:val="20"/>
        </w:rPr>
        <w:drawing>
          <wp:inline distT="0" distB="0" distL="0" distR="0" wp14:anchorId="706C6003" wp14:editId="08AC5937">
            <wp:extent cx="2971800" cy="2044700"/>
            <wp:effectExtent l="0" t="0" r="0" b="0"/>
            <wp:docPr id="13" name="Picture 12" descr="A graph of a graph showing the growth of a company&#10;&#10;AI-generated content may be incorrect.">
              <a:extLst xmlns:a="http://schemas.openxmlformats.org/drawingml/2006/main">
                <a:ext uri="{FF2B5EF4-FFF2-40B4-BE49-F238E27FC236}">
                  <a16:creationId xmlns:a16="http://schemas.microsoft.com/office/drawing/2014/main" id="{F20D45DB-ACD9-BCF9-DBCD-2BCCADDEB3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descr="A graph of a graph showing the growth of a company&#10;&#10;AI-generated content may be incorrect.">
                      <a:extLst>
                        <a:ext uri="{FF2B5EF4-FFF2-40B4-BE49-F238E27FC236}">
                          <a16:creationId xmlns:a16="http://schemas.microsoft.com/office/drawing/2014/main" id="{F20D45DB-ACD9-BCF9-DBCD-2BCCADDEB39B}"/>
                        </a:ext>
                      </a:extLst>
                    </pic:cNvPr>
                    <pic:cNvPicPr>
                      <a:picLocks noChangeAspect="1"/>
                    </pic:cNvPicPr>
                  </pic:nvPicPr>
                  <pic:blipFill>
                    <a:blip r:embed="rId16"/>
                    <a:srcRect/>
                    <a:stretch/>
                  </pic:blipFill>
                  <pic:spPr>
                    <a:xfrm>
                      <a:off x="0" y="0"/>
                      <a:ext cx="2971800" cy="2044700"/>
                    </a:xfrm>
                    <a:prstGeom prst="rect">
                      <a:avLst/>
                    </a:prstGeom>
                  </pic:spPr>
                </pic:pic>
              </a:graphicData>
            </a:graphic>
          </wp:inline>
        </w:drawing>
      </w:r>
    </w:p>
    <w:p w14:paraId="4BC6F1D7" w14:textId="77777777" w:rsidR="00C418BA" w:rsidRPr="00CA67DF" w:rsidRDefault="00C418BA" w:rsidP="00C418BA">
      <w:pPr>
        <w:jc w:val="both"/>
        <w:rPr>
          <w:rFonts w:ascii="AvenirNext LT Pro Regular" w:hAnsi="AvenirNext LT Pro Regular" w:cs="Tahoma"/>
          <w:sz w:val="20"/>
          <w:szCs w:val="20"/>
        </w:rPr>
      </w:pPr>
      <w:r w:rsidRPr="001C3301">
        <w:rPr>
          <w:rFonts w:ascii="AvenirNext LT Pro Regular" w:hAnsi="AvenirNext LT Pro Regular" w:cs="Tahoma"/>
          <w:sz w:val="16"/>
          <w:szCs w:val="16"/>
        </w:rPr>
        <w:t xml:space="preserve">Source: Bloomberg, </w:t>
      </w:r>
      <w:proofErr w:type="spellStart"/>
      <w:r w:rsidRPr="001C3301">
        <w:rPr>
          <w:rFonts w:ascii="AvenirNext LT Pro Regular" w:hAnsi="AvenirNext LT Pro Regular" w:cs="Tahoma"/>
          <w:sz w:val="16"/>
          <w:szCs w:val="16"/>
        </w:rPr>
        <w:t>Avantis</w:t>
      </w:r>
      <w:proofErr w:type="spellEnd"/>
      <w:r w:rsidRPr="001C3301">
        <w:rPr>
          <w:rFonts w:ascii="AvenirNext LT Pro Regular" w:hAnsi="AvenirNext LT Pro Regular" w:cs="Tahoma"/>
          <w:sz w:val="16"/>
          <w:szCs w:val="16"/>
        </w:rPr>
        <w:t xml:space="preserve">.  Data as of </w:t>
      </w:r>
      <w:r>
        <w:rPr>
          <w:rFonts w:ascii="AvenirNext LT Pro Regular" w:hAnsi="AvenirNext LT Pro Regular" w:cs="Tahoma"/>
          <w:sz w:val="16"/>
          <w:szCs w:val="16"/>
        </w:rPr>
        <w:t>9/30/2025</w:t>
      </w:r>
    </w:p>
    <w:p w14:paraId="2A38A9BC" w14:textId="77777777" w:rsidR="00C418BA" w:rsidRDefault="00C418BA" w:rsidP="00C418BA">
      <w:pPr>
        <w:jc w:val="both"/>
        <w:rPr>
          <w:rFonts w:ascii="AvenirNext LT Pro Regular" w:hAnsi="AvenirNext LT Pro Regular" w:cs="Tahoma"/>
          <w:sz w:val="20"/>
          <w:szCs w:val="20"/>
        </w:rPr>
      </w:pPr>
    </w:p>
    <w:p w14:paraId="5AD468F6" w14:textId="77777777" w:rsidR="00C418BA" w:rsidRDefault="00C418BA" w:rsidP="00C418BA">
      <w:pPr>
        <w:jc w:val="both"/>
        <w:rPr>
          <w:rFonts w:ascii="AvenirNext LT Pro Regular" w:hAnsi="AvenirNext LT Pro Regular" w:cs="Tahoma"/>
          <w:sz w:val="20"/>
          <w:szCs w:val="20"/>
        </w:rPr>
      </w:pPr>
      <w:r>
        <w:rPr>
          <w:rFonts w:ascii="AvenirNext LT Pro Regular" w:hAnsi="AvenirNext LT Pro Regular" w:cs="Tahoma"/>
          <w:sz w:val="20"/>
          <w:szCs w:val="20"/>
        </w:rPr>
        <w:t>Overall, w</w:t>
      </w:r>
      <w:r w:rsidRPr="00061BDC">
        <w:rPr>
          <w:rFonts w:ascii="AvenirNext LT Pro Regular" w:hAnsi="AvenirNext LT Pro Regular" w:cs="Tahoma"/>
          <w:sz w:val="20"/>
          <w:szCs w:val="20"/>
        </w:rPr>
        <w:t xml:space="preserve">e continue to view </w:t>
      </w:r>
      <w:r>
        <w:rPr>
          <w:rFonts w:ascii="AvenirNext LT Pro Regular" w:hAnsi="AvenirNext LT Pro Regular" w:cs="Tahoma"/>
          <w:sz w:val="20"/>
          <w:szCs w:val="20"/>
        </w:rPr>
        <w:t xml:space="preserve">our bond allocations </w:t>
      </w:r>
      <w:r w:rsidRPr="00061BDC">
        <w:rPr>
          <w:rFonts w:ascii="AvenirNext LT Pro Regular" w:hAnsi="AvenirNext LT Pro Regular" w:cs="Tahoma"/>
          <w:sz w:val="20"/>
          <w:szCs w:val="20"/>
        </w:rPr>
        <w:t xml:space="preserve">as a method of reducing overall portfolio risk (as measured by standard deviation), given that </w:t>
      </w:r>
      <w:r>
        <w:rPr>
          <w:rFonts w:ascii="AvenirNext LT Pro Regular" w:hAnsi="AvenirNext LT Pro Regular" w:cs="Tahoma"/>
          <w:sz w:val="20"/>
          <w:szCs w:val="20"/>
        </w:rPr>
        <w:t xml:space="preserve">stocks </w:t>
      </w:r>
      <w:r w:rsidRPr="00061BDC">
        <w:rPr>
          <w:rFonts w:ascii="AvenirNext LT Pro Regular" w:hAnsi="AvenirNext LT Pro Regular" w:cs="Tahoma"/>
          <w:sz w:val="20"/>
          <w:szCs w:val="20"/>
        </w:rPr>
        <w:t>are expected to have much higher volatility.  Our portfolio’s focus will continue to be on high quality bonds with an emphasis on short to intermediate duration government and corporate bonds, where default risk has historically been relatively low.</w:t>
      </w:r>
      <w:r>
        <w:rPr>
          <w:rFonts w:ascii="AvenirNext LT Pro Regular" w:hAnsi="AvenirNext LT Pro Regular" w:cs="Tahoma"/>
          <w:sz w:val="20"/>
          <w:szCs w:val="20"/>
        </w:rPr>
        <w:t xml:space="preserve">  </w:t>
      </w:r>
    </w:p>
    <w:p w14:paraId="766543FD" w14:textId="77777777" w:rsidR="00C418BA" w:rsidRDefault="00C418BA" w:rsidP="00C418BA">
      <w:pPr>
        <w:jc w:val="both"/>
        <w:rPr>
          <w:rFonts w:ascii="AvenirNext LT Pro Regular" w:hAnsi="AvenirNext LT Pro Regular" w:cs="Tahoma"/>
          <w:sz w:val="20"/>
          <w:szCs w:val="20"/>
        </w:rPr>
      </w:pPr>
    </w:p>
    <w:p w14:paraId="4AB61C50" w14:textId="77777777" w:rsidR="008B366A" w:rsidRDefault="008B366A" w:rsidP="009E0763">
      <w:pPr>
        <w:jc w:val="both"/>
        <w:rPr>
          <w:rFonts w:ascii="AvenirNext LT Pro Regular" w:hAnsi="AvenirNext LT Pro Regular" w:cs="Tahoma"/>
          <w:sz w:val="20"/>
          <w:szCs w:val="20"/>
        </w:rPr>
      </w:pPr>
    </w:p>
    <w:p w14:paraId="1F687F35" w14:textId="164F4A4F" w:rsidR="00CB7223" w:rsidRPr="00AA6AA6" w:rsidRDefault="00CB7223" w:rsidP="009E0763">
      <w:pPr>
        <w:jc w:val="both"/>
        <w:rPr>
          <w:rFonts w:ascii="AvenirNext LT Pro Regular" w:hAnsi="AvenirNext LT Pro Regular" w:cs="Tahoma"/>
          <w:sz w:val="20"/>
          <w:szCs w:val="20"/>
        </w:rPr>
        <w:sectPr w:rsidR="00CB7223" w:rsidRPr="00AA6AA6" w:rsidSect="00FC5516">
          <w:headerReference w:type="default" r:id="rId17"/>
          <w:headerReference w:type="first" r:id="rId18"/>
          <w:type w:val="continuous"/>
          <w:pgSz w:w="12240" w:h="15840" w:code="1"/>
          <w:pgMar w:top="1584" w:right="1080" w:bottom="720" w:left="1080" w:header="360" w:footer="720" w:gutter="0"/>
          <w:cols w:num="2" w:space="720"/>
          <w:titlePg/>
          <w:docGrid w:linePitch="360"/>
        </w:sectPr>
      </w:pPr>
    </w:p>
    <w:p w14:paraId="2AF20396" w14:textId="77777777" w:rsidR="00CB7223" w:rsidRPr="00CB7223" w:rsidRDefault="00CB7223" w:rsidP="00CB7223">
      <w:pPr>
        <w:rPr>
          <w:rFonts w:ascii="AvenirNext LT Pro Regular" w:hAnsi="AvenirNext LT Pro Regular" w:cs="Tahoma"/>
          <w:b/>
          <w:bCs/>
          <w:sz w:val="20"/>
          <w:szCs w:val="20"/>
        </w:rPr>
      </w:pPr>
      <w:r w:rsidRPr="00CB7223">
        <w:rPr>
          <w:rFonts w:ascii="AvenirNext LT Pro Regular" w:hAnsi="AvenirNext LT Pro Regular" w:cs="Tahoma"/>
          <w:b/>
          <w:bCs/>
          <w:i/>
          <w:iCs/>
          <w:sz w:val="20"/>
          <w:szCs w:val="20"/>
        </w:rPr>
        <w:lastRenderedPageBreak/>
        <w:t>Discipline Wealth Solutions is an investment adviser registered with the Securities and Exchange Commission (“SEC”).  See full disclosure </w:t>
      </w:r>
      <w:hyperlink r:id="rId19" w:tooltip="https://linkprotect.cudasvc.com/url?a=http%3a%2f%2fwww.disciplinewealth.com%2fdisclosures&amp;c=E,1,HcV9huHYL-6DPTSHWBP7NEXPHq0H-WSXCAE0qYJppVwK53m1mzm0Fy0iSZiL5CgTY015uSUYK7CLjro0z2KWxV9SbXRfxPcgg_vBMmXGr-OkHekXmEMe&amp;typo=1" w:history="1">
        <w:r w:rsidRPr="00CB7223">
          <w:rPr>
            <w:rStyle w:val="Hyperlink"/>
            <w:rFonts w:ascii="AvenirNext LT Pro Regular" w:hAnsi="AvenirNext LT Pro Regular" w:cs="Tahoma"/>
            <w:b/>
            <w:bCs/>
            <w:sz w:val="20"/>
            <w:szCs w:val="20"/>
          </w:rPr>
          <w:t>www.disciplinewealth.com/disclosures</w:t>
        </w:r>
      </w:hyperlink>
      <w:r>
        <w:rPr>
          <w:rFonts w:ascii="AvenirNext LT Pro Regular" w:hAnsi="AvenirNext LT Pro Regular" w:cs="Tahoma"/>
          <w:b/>
          <w:bCs/>
          <w:sz w:val="20"/>
          <w:szCs w:val="20"/>
        </w:rPr>
        <w:t>.</w:t>
      </w:r>
    </w:p>
    <w:p w14:paraId="7ECC0733" w14:textId="77777777" w:rsidR="00CB7223" w:rsidRDefault="00CB7223" w:rsidP="00DE435F">
      <w:pPr>
        <w:rPr>
          <w:rFonts w:ascii="AvenirNext LT Pro Regular" w:hAnsi="AvenirNext LT Pro Regular" w:cs="Gautami"/>
          <w:b/>
          <w:bCs/>
          <w:i/>
          <w:iCs/>
          <w:sz w:val="18"/>
          <w:szCs w:val="18"/>
        </w:rPr>
      </w:pPr>
    </w:p>
    <w:p w14:paraId="325FDD8D" w14:textId="21CADEA4" w:rsidR="00DE435F" w:rsidRPr="00DE435F" w:rsidRDefault="00DE435F" w:rsidP="00DE435F">
      <w:pPr>
        <w:rPr>
          <w:rFonts w:ascii="AvenirNext LT Pro Regular" w:hAnsi="AvenirNext LT Pro Regular" w:cs="Gautami"/>
          <w:b/>
          <w:bCs/>
          <w:i/>
          <w:iCs/>
          <w:sz w:val="18"/>
          <w:szCs w:val="18"/>
        </w:rPr>
      </w:pPr>
      <w:r w:rsidRPr="00DE435F">
        <w:rPr>
          <w:rFonts w:ascii="AvenirNext LT Pro Regular" w:hAnsi="AvenirNext LT Pro Regular" w:cs="Gautami"/>
          <w:b/>
          <w:bCs/>
          <w:i/>
          <w:iCs/>
          <w:sz w:val="18"/>
          <w:szCs w:val="18"/>
        </w:rPr>
        <w:t>East Bay Investment Solutions and Discipline Wealth Solutions are independent from and unaffiliated with each other; however, Discipline Wealth Solutions has engaged East Bay Investment Solutions to provide nondiscretionary investment portfolio recommendations to Discipline Wealth Solutions. Discipline Wealth Solutions, to the exclusion of East Bay Investment Solutions, retains the discretionary authority to accept or reject East Bay Investment Solutions’ investment portfolio recommendations with respect to its clients’ accounts.</w:t>
      </w:r>
    </w:p>
    <w:p w14:paraId="22C3427E" w14:textId="77777777" w:rsidR="00DE435F" w:rsidRPr="00DE435F" w:rsidRDefault="00DE435F" w:rsidP="00DE435F">
      <w:pPr>
        <w:rPr>
          <w:rFonts w:ascii="AvenirNext LT Pro Regular" w:hAnsi="AvenirNext LT Pro Regular" w:cs="Gautami"/>
          <w:b/>
          <w:bCs/>
          <w:i/>
          <w:iCs/>
          <w:sz w:val="18"/>
          <w:szCs w:val="18"/>
        </w:rPr>
      </w:pPr>
      <w:r w:rsidRPr="00DE435F">
        <w:rPr>
          <w:rFonts w:ascii="AvenirNext LT Pro Regular" w:hAnsi="AvenirNext LT Pro Regular" w:cs="Gautami"/>
          <w:b/>
          <w:bCs/>
          <w:i/>
          <w:iCs/>
          <w:sz w:val="18"/>
          <w:szCs w:val="18"/>
        </w:rPr>
        <w:br/>
        <w:t xml:space="preserve">This material contains general information, </w:t>
      </w:r>
      <w:proofErr w:type="gramStart"/>
      <w:r w:rsidRPr="00DE435F">
        <w:rPr>
          <w:rFonts w:ascii="AvenirNext LT Pro Regular" w:hAnsi="AvenirNext LT Pro Regular" w:cs="Gautami"/>
          <w:b/>
          <w:bCs/>
          <w:i/>
          <w:iCs/>
          <w:sz w:val="18"/>
          <w:szCs w:val="18"/>
        </w:rPr>
        <w:t>may be</w:t>
      </w:r>
      <w:proofErr w:type="gramEnd"/>
      <w:r w:rsidRPr="00DE435F">
        <w:rPr>
          <w:rFonts w:ascii="AvenirNext LT Pro Regular" w:hAnsi="AvenirNext LT Pro Regular" w:cs="Gautami"/>
          <w:b/>
          <w:bCs/>
          <w:i/>
          <w:iCs/>
          <w:sz w:val="18"/>
          <w:szCs w:val="18"/>
        </w:rPr>
        <w:t xml:space="preserve"> based on authorities that are subject to change, and is not a substitute for professional advice or services. This material does not constitute tax, consulting, business, financial, investment, legal or other professional advice, and you should consult a qualified professional advisor before taking any action based on the information herein. This material is confidential and intended for the exclusive use of clients or prospective clients of Discipline Wealth Solutions. Information has been obtained from a variety of sources believed to be reliable though not independently verified. To the extent capital markets assumptions or projections are used, actual returns, volatilities and correlations will differ from assumptions. Historical and forecasted information does not include advisory fees, transaction fees, custody fees, taxes or any other expenses associated with investable products. Actual fees and expenses will detract from performance. Past performance does not indicate future performance.</w:t>
      </w:r>
    </w:p>
    <w:p w14:paraId="793D86DA" w14:textId="4253BEC8" w:rsidR="00CB7223" w:rsidRPr="00CB7223" w:rsidRDefault="00DE435F" w:rsidP="00CB7223">
      <w:pPr>
        <w:rPr>
          <w:rFonts w:ascii="AvenirNext LT Pro Regular" w:hAnsi="AvenirNext LT Pro Regular" w:cs="Tahoma"/>
          <w:b/>
          <w:bCs/>
          <w:sz w:val="20"/>
          <w:szCs w:val="20"/>
        </w:rPr>
      </w:pPr>
      <w:r w:rsidRPr="00DE435F">
        <w:rPr>
          <w:rFonts w:ascii="AvenirNext LT Pro Regular" w:hAnsi="AvenirNext LT Pro Regular" w:cs="Gautami"/>
          <w:b/>
          <w:bCs/>
          <w:i/>
          <w:iCs/>
          <w:sz w:val="18"/>
          <w:szCs w:val="18"/>
        </w:rPr>
        <w:br/>
        <w:t xml:space="preserve">The sole purpose of this material is to inform, and it is not intended to be an offer or solicitation to purchase or sell any security or other investment product. Investments mentioned in this material may not be suitable for all investors. Before making any investment, each investor should carefully consider the risks associated with the investment and </w:t>
      </w:r>
      <w:proofErr w:type="gramStart"/>
      <w:r w:rsidRPr="00DE435F">
        <w:rPr>
          <w:rFonts w:ascii="AvenirNext LT Pro Regular" w:hAnsi="AvenirNext LT Pro Regular" w:cs="Gautami"/>
          <w:b/>
          <w:bCs/>
          <w:i/>
          <w:iCs/>
          <w:sz w:val="18"/>
          <w:szCs w:val="18"/>
        </w:rPr>
        <w:t>make a determination</w:t>
      </w:r>
      <w:proofErr w:type="gramEnd"/>
      <w:r w:rsidRPr="00DE435F">
        <w:rPr>
          <w:rFonts w:ascii="AvenirNext LT Pro Regular" w:hAnsi="AvenirNext LT Pro Regular" w:cs="Gautami"/>
          <w:b/>
          <w:bCs/>
          <w:i/>
          <w:iCs/>
          <w:sz w:val="18"/>
          <w:szCs w:val="18"/>
        </w:rPr>
        <w:t xml:space="preserve"> based on the investor’s own particular </w:t>
      </w:r>
      <w:proofErr w:type="gramStart"/>
      <w:r w:rsidRPr="00DE435F">
        <w:rPr>
          <w:rFonts w:ascii="AvenirNext LT Pro Regular" w:hAnsi="AvenirNext LT Pro Regular" w:cs="Gautami"/>
          <w:b/>
          <w:bCs/>
          <w:i/>
          <w:iCs/>
          <w:sz w:val="18"/>
          <w:szCs w:val="18"/>
        </w:rPr>
        <w:t>circumstances, and</w:t>
      </w:r>
      <w:proofErr w:type="gramEnd"/>
      <w:r w:rsidRPr="00DE435F">
        <w:rPr>
          <w:rFonts w:ascii="AvenirNext LT Pro Regular" w:hAnsi="AvenirNext LT Pro Regular" w:cs="Gautami"/>
          <w:b/>
          <w:bCs/>
          <w:i/>
          <w:iCs/>
          <w:sz w:val="18"/>
          <w:szCs w:val="18"/>
        </w:rPr>
        <w:t xml:space="preserve"> carefully consider whether the investment is consistent with the investor’s investment objectives.</w:t>
      </w:r>
      <w:r w:rsidRPr="00DE435F">
        <w:rPr>
          <w:rFonts w:ascii="AvenirNext LT Pro Regular" w:hAnsi="AvenirNext LT Pro Regular" w:cs="Gautami"/>
          <w:b/>
          <w:bCs/>
          <w:i/>
          <w:iCs/>
          <w:sz w:val="18"/>
          <w:szCs w:val="18"/>
        </w:rPr>
        <w:br/>
      </w:r>
      <w:r w:rsidRPr="00DE435F">
        <w:rPr>
          <w:rFonts w:ascii="AvenirNext LT Pro Regular" w:hAnsi="AvenirNext LT Pro Regular" w:cs="Gautami"/>
          <w:b/>
          <w:bCs/>
          <w:i/>
          <w:iCs/>
          <w:sz w:val="18"/>
          <w:szCs w:val="18"/>
        </w:rPr>
        <w:br/>
        <w:t>Information in this material was prepared by East Bay Investment Solutions. Although information in this material has been obtained from sources believed to be reliable, East Bay Investment Solutions does not guarantee its accuracy, completeness or reliability and is not responsible or liable for any direct, indirect or consequential losses from its use. Any such information may be incomplete or condensed and is subject to change without notice.</w:t>
      </w:r>
      <w:r w:rsidRPr="00DE435F">
        <w:rPr>
          <w:rFonts w:ascii="AvenirNext LT Pro Regular" w:hAnsi="AvenirNext LT Pro Regular" w:cs="Gautami"/>
          <w:b/>
          <w:bCs/>
          <w:i/>
          <w:iCs/>
          <w:sz w:val="18"/>
          <w:szCs w:val="18"/>
        </w:rPr>
        <w:br/>
      </w:r>
    </w:p>
    <w:p w14:paraId="5E1CD615" w14:textId="77777777" w:rsidR="00CB7223" w:rsidRPr="00AA6AA6" w:rsidRDefault="00CB7223" w:rsidP="00CB7223">
      <w:pPr>
        <w:rPr>
          <w:rFonts w:ascii="AvenirNext LT Pro Regular" w:hAnsi="AvenirNext LT Pro Regular" w:cs="Tahoma"/>
          <w:sz w:val="20"/>
          <w:szCs w:val="20"/>
        </w:rPr>
      </w:pPr>
    </w:p>
    <w:sectPr w:rsidR="00CB7223" w:rsidRPr="00AA6AA6" w:rsidSect="00FC5516">
      <w:headerReference w:type="first" r:id="rId20"/>
      <w:type w:val="continuous"/>
      <w:pgSz w:w="12240" w:h="15840"/>
      <w:pgMar w:top="1668" w:right="1080" w:bottom="864" w:left="1080" w:header="36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D4217C" w14:textId="77777777" w:rsidR="00290148" w:rsidRDefault="00290148" w:rsidP="000D5F6C">
      <w:r>
        <w:separator/>
      </w:r>
    </w:p>
  </w:endnote>
  <w:endnote w:type="continuationSeparator" w:id="0">
    <w:p w14:paraId="3FE6E8FB" w14:textId="77777777" w:rsidR="00290148" w:rsidRDefault="00290148" w:rsidP="000D5F6C">
      <w:r>
        <w:continuationSeparator/>
      </w:r>
    </w:p>
  </w:endnote>
  <w:endnote w:type="continuationNotice" w:id="1">
    <w:p w14:paraId="37002218" w14:textId="77777777" w:rsidR="00290148" w:rsidRDefault="0029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riam Fixed">
    <w:charset w:val="B1"/>
    <w:family w:val="modern"/>
    <w:pitch w:val="fixed"/>
    <w:sig w:usb0="00000803" w:usb1="00000000" w:usb2="00000000" w:usb3="00000000" w:csb0="00000021" w:csb1="00000000"/>
    <w:embedRegular r:id="rId1" w:fontKey="{92941D8D-1DFD-4D86-9958-597DAE37BFCA}"/>
  </w:font>
  <w:font w:name="Century Gothic">
    <w:panose1 w:val="020B0502020202020204"/>
    <w:charset w:val="00"/>
    <w:family w:val="swiss"/>
    <w:pitch w:val="variable"/>
    <w:sig w:usb0="00000287" w:usb1="00000000" w:usb2="00000000" w:usb3="00000000" w:csb0="0000009F" w:csb1="00000000"/>
    <w:embedRegular r:id="rId2" w:fontKey="{BEAFC86D-420D-4993-A070-835CCED3C87B}"/>
  </w:font>
  <w:font w:name="Segoe UI">
    <w:panose1 w:val="020B0502040204020203"/>
    <w:charset w:val="00"/>
    <w:family w:val="swiss"/>
    <w:pitch w:val="variable"/>
    <w:sig w:usb0="E4002EFF" w:usb1="C000E47F" w:usb2="00000009" w:usb3="00000000" w:csb0="000001FF" w:csb1="00000000"/>
    <w:embedRegular r:id="rId3" w:fontKey="{2C94F208-21BA-4C7E-8AEA-7CE100D0934B}"/>
  </w:font>
  <w:font w:name="Source Sans Pro">
    <w:charset w:val="00"/>
    <w:family w:val="swiss"/>
    <w:pitch w:val="variable"/>
    <w:sig w:usb0="600002F7" w:usb1="02000001" w:usb2="00000000" w:usb3="00000000" w:csb0="0000019F" w:csb1="00000000"/>
    <w:embedRegular r:id="rId4" w:fontKey="{52C51D76-5A4D-4290-B980-AC2A2C68FCB4}"/>
    <w:embedBold r:id="rId5" w:fontKey="{6E7B37DC-2085-456C-A51B-1484955C009B}"/>
  </w:font>
  <w:font w:name="Tahoma">
    <w:panose1 w:val="020B0604030504040204"/>
    <w:charset w:val="00"/>
    <w:family w:val="swiss"/>
    <w:pitch w:val="variable"/>
    <w:sig w:usb0="E1002EFF" w:usb1="C000605B" w:usb2="00000029" w:usb3="00000000" w:csb0="000101FF" w:csb1="00000000"/>
    <w:embedRegular r:id="rId6" w:fontKey="{FA9D46FB-6CB7-4341-AA4A-5069B22DBFC6}"/>
    <w:embedBold r:id="rId7" w:fontKey="{64EA1052-5F31-4433-80A2-38219FEA8929}"/>
    <w:embedBoldItalic r:id="rId8" w:fontKey="{E27A27D4-4137-496A-AD06-DE93ABF10AA6}"/>
  </w:font>
  <w:font w:name="AvenirNext LT Pro Regular">
    <w:altName w:val="Calibri"/>
    <w:panose1 w:val="00000000000000000000"/>
    <w:charset w:val="00"/>
    <w:family w:val="swiss"/>
    <w:notTrueType/>
    <w:pitch w:val="variable"/>
    <w:sig w:usb0="800000AF" w:usb1="5000204A" w:usb2="00000000" w:usb3="00000000" w:csb0="0000009B" w:csb1="00000000"/>
  </w:font>
  <w:font w:name="Akzidenz Grotesk BE Cn">
    <w:altName w:val="Calibri"/>
    <w:panose1 w:val="00000000000000000000"/>
    <w:charset w:val="00"/>
    <w:family w:val="swiss"/>
    <w:notTrueType/>
    <w:pitch w:val="variable"/>
    <w:sig w:usb0="800000AF" w:usb1="4000004A" w:usb2="00000000" w:usb3="00000000" w:csb0="00000001" w:csb1="00000000"/>
  </w:font>
  <w:font w:name="Brandon Text Bold">
    <w:altName w:val="Calibri"/>
    <w:panose1 w:val="00000000000000000000"/>
    <w:charset w:val="00"/>
    <w:family w:val="swiss"/>
    <w:notTrueType/>
    <w:pitch w:val="variable"/>
    <w:sig w:usb0="A00000AF" w:usb1="5000205B" w:usb2="00000000" w:usb3="00000000" w:csb0="0000009B" w:csb1="00000000"/>
  </w:font>
  <w:font w:name="Gautami">
    <w:panose1 w:val="02000500000000000000"/>
    <w:charset w:val="00"/>
    <w:family w:val="swiss"/>
    <w:pitch w:val="variable"/>
    <w:sig w:usb0="00200003" w:usb1="00000000" w:usb2="00000000" w:usb3="00000000" w:csb0="00000001" w:csb1="00000000"/>
    <w:embedBoldItalic r:id="rId9" w:fontKey="{B6DBDE54-AD41-4A78-A243-6AEC53C8FC7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3B4F1C" w14:textId="77777777" w:rsidR="00290148" w:rsidRDefault="00290148" w:rsidP="000D5F6C">
      <w:r>
        <w:separator/>
      </w:r>
    </w:p>
  </w:footnote>
  <w:footnote w:type="continuationSeparator" w:id="0">
    <w:p w14:paraId="30914037" w14:textId="77777777" w:rsidR="00290148" w:rsidRDefault="00290148" w:rsidP="000D5F6C">
      <w:r>
        <w:continuationSeparator/>
      </w:r>
    </w:p>
  </w:footnote>
  <w:footnote w:type="continuationNotice" w:id="1">
    <w:p w14:paraId="3179A5BD" w14:textId="77777777" w:rsidR="00290148" w:rsidRDefault="0029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C13B28" w14:textId="4BBAC42C" w:rsidR="00E04755" w:rsidRDefault="00FE3001" w:rsidP="000D49BC">
    <w:pPr>
      <w:pStyle w:val="Header"/>
      <w:ind w:left="-720"/>
    </w:pPr>
    <w:r>
      <w:rPr>
        <w:noProof/>
      </w:rPr>
      <mc:AlternateContent>
        <mc:Choice Requires="wps">
          <w:drawing>
            <wp:anchor distT="0" distB="0" distL="114300" distR="114300" simplePos="0" relativeHeight="251658242" behindDoc="0" locked="0" layoutInCell="1" allowOverlap="1" wp14:anchorId="42F311B3" wp14:editId="4958E8F0">
              <wp:simplePos x="0" y="0"/>
              <wp:positionH relativeFrom="column">
                <wp:posOffset>5125085</wp:posOffset>
              </wp:positionH>
              <wp:positionV relativeFrom="paragraph">
                <wp:posOffset>290293</wp:posOffset>
              </wp:positionV>
              <wp:extent cx="1609969" cy="468923"/>
              <wp:effectExtent l="0" t="0" r="0" b="0"/>
              <wp:wrapNone/>
              <wp:docPr id="15" name="Text Box 15"/>
              <wp:cNvGraphicFramePr/>
              <a:graphic xmlns:a="http://schemas.openxmlformats.org/drawingml/2006/main">
                <a:graphicData uri="http://schemas.microsoft.com/office/word/2010/wordprocessingShape">
                  <wps:wsp>
                    <wps:cNvSpPr txBox="1"/>
                    <wps:spPr>
                      <a:xfrm>
                        <a:off x="0" y="0"/>
                        <a:ext cx="1609969" cy="468923"/>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63947FF" w14:textId="1A917B65" w:rsidR="00FE3001" w:rsidRPr="00FE3001" w:rsidRDefault="00FE3001">
                          <w:pPr>
                            <w:rPr>
                              <w:rFonts w:ascii="Century Gothic" w:hAnsi="Century Gothic" w:cs="Arial"/>
                              <w:color w:val="AEAAAA" w:themeColor="background2" w:themeShade="BF"/>
                              <w:sz w:val="18"/>
                              <w:szCs w:val="18"/>
                            </w:rPr>
                          </w:pPr>
                          <w:r w:rsidRPr="00FE3001">
                            <w:rPr>
                              <w:rFonts w:ascii="Century Gothic" w:hAnsi="Century Gothic" w:cs="Arial"/>
                              <w:color w:val="AEAAAA" w:themeColor="background2" w:themeShade="BF"/>
                              <w:sz w:val="18"/>
                              <w:szCs w:val="18"/>
                            </w:rPr>
                            <w:t xml:space="preserve">QUARTERLY INVESTMENT COMMENTARY – </w:t>
                          </w:r>
                          <w:r w:rsidR="00BA188D">
                            <w:rPr>
                              <w:rFonts w:ascii="Century Gothic" w:hAnsi="Century Gothic" w:cs="Arial"/>
                              <w:color w:val="AEAAAA" w:themeColor="background2" w:themeShade="BF"/>
                              <w:sz w:val="18"/>
                              <w:szCs w:val="18"/>
                            </w:rPr>
                            <w:t>Q</w:t>
                          </w:r>
                          <w:r w:rsidR="00C418BA">
                            <w:rPr>
                              <w:rFonts w:ascii="Century Gothic" w:hAnsi="Century Gothic" w:cs="Arial"/>
                              <w:color w:val="AEAAAA" w:themeColor="background2" w:themeShade="BF"/>
                              <w:sz w:val="18"/>
                              <w:szCs w:val="18"/>
                            </w:rPr>
                            <w:t>3</w:t>
                          </w:r>
                          <w:r w:rsidRPr="00FE3001">
                            <w:rPr>
                              <w:rFonts w:ascii="Century Gothic" w:hAnsi="Century Gothic" w:cs="Arial"/>
                              <w:color w:val="AEAAAA" w:themeColor="background2" w:themeShade="BF"/>
                              <w:sz w:val="18"/>
                              <w:szCs w:val="18"/>
                            </w:rPr>
                            <w:t xml:space="preserve"> 202</w:t>
                          </w:r>
                          <w:r w:rsidR="00041DEA">
                            <w:rPr>
                              <w:rFonts w:ascii="Century Gothic" w:hAnsi="Century Gothic" w:cs="Arial"/>
                              <w:color w:val="AEAAAA" w:themeColor="background2" w:themeShade="BF"/>
                              <w:sz w:val="18"/>
                              <w:szCs w:val="18"/>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2F311B3" id="_x0000_t202" coordsize="21600,21600" o:spt="202" path="m,l,21600r21600,l21600,xe">
              <v:stroke joinstyle="miter"/>
              <v:path gradientshapeok="t" o:connecttype="rect"/>
            </v:shapetype>
            <v:shape id="Text Box 15" o:spid="_x0000_s1028" type="#_x0000_t202" style="position:absolute;left:0;text-align:left;margin-left:403.55pt;margin-top:22.85pt;width:126.75pt;height:36.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" filled="f" stroked="f">
              <v:textbox>
                <w:txbxContent>
                  <w:p w14:paraId="163947FF" w14:textId="1A917B65" w:rsidR="00FE3001" w:rsidRPr="00FE3001" w:rsidRDefault="00FE3001">
                    <w:pPr>
                      <w:rPr>
                        <w:rFonts w:ascii="Century Gothic" w:hAnsi="Century Gothic" w:cs="Arial"/>
                        <w:color w:val="AEAAAA" w:themeColor="background2" w:themeShade="BF"/>
                        <w:sz w:val="18"/>
                        <w:szCs w:val="18"/>
                      </w:rPr>
                    </w:pPr>
                    <w:r w:rsidRPr="00FE3001">
                      <w:rPr>
                        <w:rFonts w:ascii="Century Gothic" w:hAnsi="Century Gothic" w:cs="Arial"/>
                        <w:color w:val="AEAAAA" w:themeColor="background2" w:themeShade="BF"/>
                        <w:sz w:val="18"/>
                        <w:szCs w:val="18"/>
                      </w:rPr>
                      <w:t xml:space="preserve">QUARTERLY INVESTMENT COMMENTARY – </w:t>
                    </w:r>
                    <w:r w:rsidR="00BA188D">
                      <w:rPr>
                        <w:rFonts w:ascii="Century Gothic" w:hAnsi="Century Gothic" w:cs="Arial"/>
                        <w:color w:val="AEAAAA" w:themeColor="background2" w:themeShade="BF"/>
                        <w:sz w:val="18"/>
                        <w:szCs w:val="18"/>
                      </w:rPr>
                      <w:t>Q</w:t>
                    </w:r>
                    <w:r w:rsidR="00C418BA">
                      <w:rPr>
                        <w:rFonts w:ascii="Century Gothic" w:hAnsi="Century Gothic" w:cs="Arial"/>
                        <w:color w:val="AEAAAA" w:themeColor="background2" w:themeShade="BF"/>
                        <w:sz w:val="18"/>
                        <w:szCs w:val="18"/>
                      </w:rPr>
                      <w:t>3</w:t>
                    </w:r>
                    <w:r w:rsidRPr="00FE3001">
                      <w:rPr>
                        <w:rFonts w:ascii="Century Gothic" w:hAnsi="Century Gothic" w:cs="Arial"/>
                        <w:color w:val="AEAAAA" w:themeColor="background2" w:themeShade="BF"/>
                        <w:sz w:val="18"/>
                        <w:szCs w:val="18"/>
                      </w:rPr>
                      <w:t xml:space="preserve"> 202</w:t>
                    </w:r>
                    <w:r w:rsidR="00041DEA">
                      <w:rPr>
                        <w:rFonts w:ascii="Century Gothic" w:hAnsi="Century Gothic" w:cs="Arial"/>
                        <w:color w:val="AEAAAA" w:themeColor="background2" w:themeShade="BF"/>
                        <w:sz w:val="18"/>
                        <w:szCs w:val="18"/>
                      </w:rPr>
                      <w:t>5</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8A8EF" w14:textId="4204BEFB" w:rsidR="00E04755" w:rsidRDefault="00E04755" w:rsidP="00DE435F">
    <w:pPr>
      <w:pStyle w:val="Header"/>
      <w:rPr>
        <w:rFonts w:ascii="Akzidenz Grotesk BE Cn" w:hAnsi="Akzidenz Grotesk BE Cn"/>
        <w:b/>
        <w:noProof/>
        <w:sz w:val="56"/>
        <w:szCs w:val="56"/>
      </w:rPr>
    </w:pPr>
  </w:p>
  <w:p w14:paraId="4885BC41" w14:textId="77777777" w:rsidR="00E04755" w:rsidRDefault="00E04755" w:rsidP="00DE435F">
    <w:pPr>
      <w:ind w:right="-630"/>
      <w:rPr>
        <w:rFonts w:ascii="Tahoma" w:hAnsi="Tahoma" w:cs="Tahoma"/>
        <w:b/>
        <w:noProof/>
        <w:color w:val="13284B"/>
        <w:sz w:val="44"/>
        <w:szCs w:val="44"/>
      </w:rPr>
    </w:pPr>
  </w:p>
  <w:p w14:paraId="4D93E4E0" w14:textId="1F136EC4" w:rsidR="00E04755" w:rsidRPr="00616268" w:rsidRDefault="00E04755" w:rsidP="0065164E">
    <w:pPr>
      <w:ind w:right="-630"/>
      <w:rPr>
        <w:rFonts w:ascii="Brandon Text Bold" w:hAnsi="Brandon Text Bold" w:cs="Tahoma"/>
        <w:b/>
        <w:noProof/>
        <w:color w:val="13284B"/>
        <w:sz w:val="44"/>
        <w:szCs w:val="44"/>
      </w:rPr>
    </w:pPr>
    <w:r w:rsidRPr="00616268">
      <w:rPr>
        <w:rFonts w:ascii="Brandon Text Bold" w:hAnsi="Brandon Text Bold" w:cs="Tahoma"/>
        <w:b/>
        <w:noProof/>
        <w:color w:val="13284B"/>
        <w:sz w:val="44"/>
        <w:szCs w:val="44"/>
      </w:rPr>
      <w:t xml:space="preserve">Quarterly Investment Commentary – </w:t>
    </w:r>
    <w:r w:rsidR="00E55E43" w:rsidRPr="00616268">
      <w:rPr>
        <w:rFonts w:ascii="Brandon Text Bold" w:hAnsi="Brandon Text Bold" w:cs="Tahoma"/>
        <w:b/>
        <w:noProof/>
        <w:color w:val="13284B"/>
        <w:sz w:val="44"/>
        <w:szCs w:val="44"/>
      </w:rPr>
      <w:t>Q</w:t>
    </w:r>
    <w:r w:rsidR="00C418BA">
      <w:rPr>
        <w:rFonts w:ascii="Brandon Text Bold" w:hAnsi="Brandon Text Bold" w:cs="Tahoma"/>
        <w:b/>
        <w:noProof/>
        <w:color w:val="13284B"/>
        <w:sz w:val="44"/>
        <w:szCs w:val="44"/>
      </w:rPr>
      <w:t>3</w:t>
    </w:r>
    <w:r w:rsidRPr="00616268">
      <w:rPr>
        <w:rFonts w:ascii="Brandon Text Bold" w:hAnsi="Brandon Text Bold" w:cs="Tahoma"/>
        <w:b/>
        <w:noProof/>
        <w:color w:val="13284B"/>
        <w:sz w:val="44"/>
        <w:szCs w:val="44"/>
      </w:rPr>
      <w:t xml:space="preserve"> 202</w:t>
    </w:r>
    <w:r w:rsidR="00041DEA">
      <w:rPr>
        <w:rFonts w:ascii="Brandon Text Bold" w:hAnsi="Brandon Text Bold" w:cs="Tahoma"/>
        <w:b/>
        <w:noProof/>
        <w:color w:val="13284B"/>
        <w:sz w:val="44"/>
        <w:szCs w:val="44"/>
      </w:rPr>
      <w:t>5</w:t>
    </w:r>
  </w:p>
  <w:p w14:paraId="3DC0485B" w14:textId="77777777" w:rsidR="00E04755" w:rsidRPr="00841844" w:rsidRDefault="00E04755" w:rsidP="0065164E">
    <w:pPr>
      <w:rPr>
        <w:rFonts w:ascii="Source Sans Pro" w:hAnsi="Source Sans Pro"/>
        <w:sz w:val="20"/>
        <w:szCs w:val="20"/>
      </w:rPr>
    </w:pPr>
  </w:p>
  <w:p w14:paraId="14A4A2E1" w14:textId="77777777" w:rsidR="00E04755" w:rsidRPr="00841844" w:rsidRDefault="00E04755" w:rsidP="0065164E">
    <w:pPr>
      <w:rPr>
        <w:rFonts w:ascii="Source Sans Pro" w:hAnsi="Source Sans Pro"/>
        <w:sz w:val="20"/>
        <w:szCs w:val="20"/>
      </w:rPr>
    </w:pPr>
  </w:p>
  <w:p w14:paraId="0B0940B9" w14:textId="3DD25F01" w:rsidR="00E04755" w:rsidRPr="00297F57" w:rsidRDefault="00E04755" w:rsidP="0065164E">
    <w:pPr>
      <w:jc w:val="center"/>
      <w:rPr>
        <w:rFonts w:ascii="AvenirNext LT Pro Regular" w:hAnsi="AvenirNext LT Pro Regular"/>
      </w:rPr>
    </w:pPr>
  </w:p>
  <w:p w14:paraId="7D04A869" w14:textId="77777777" w:rsidR="00E04755" w:rsidRDefault="00E0475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013CAF" w14:textId="4835F14F" w:rsidR="00F66088" w:rsidRDefault="00F66088" w:rsidP="0065164E">
    <w:pPr>
      <w:pStyle w:val="Header"/>
      <w:ind w:left="-810"/>
      <w:rPr>
        <w:rFonts w:ascii="Akzidenz Grotesk BE Cn" w:hAnsi="Akzidenz Grotesk BE Cn"/>
        <w:b/>
        <w:noProof/>
        <w:sz w:val="56"/>
        <w:szCs w:val="56"/>
      </w:rPr>
    </w:pPr>
    <w:r>
      <w:rPr>
        <w:rFonts w:ascii="Akzidenz Grotesk BE Cn" w:hAnsi="Akzidenz Grotesk BE Cn"/>
        <w:b/>
        <w:noProof/>
        <w:sz w:val="56"/>
        <w:szCs w:val="56"/>
      </w:rPr>
      <w:t xml:space="preserve"> </w:t>
    </w:r>
  </w:p>
  <w:p w14:paraId="3B81DBF8" w14:textId="77777777" w:rsidR="00F66088" w:rsidRDefault="00F66088" w:rsidP="0065164E">
    <w:pPr>
      <w:ind w:left="-270" w:right="-630"/>
      <w:rPr>
        <w:rFonts w:ascii="Tahoma" w:hAnsi="Tahoma" w:cs="Tahoma"/>
        <w:b/>
        <w:noProof/>
        <w:color w:val="13284B"/>
        <w:sz w:val="44"/>
        <w:szCs w:val="44"/>
      </w:rPr>
    </w:pPr>
  </w:p>
  <w:p w14:paraId="049C067C" w14:textId="77777777" w:rsidR="00F66088" w:rsidRDefault="00F660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04EC3"/>
    <w:multiLevelType w:val="multilevel"/>
    <w:tmpl w:val="A3021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1A01636"/>
    <w:multiLevelType w:val="hybridMultilevel"/>
    <w:tmpl w:val="8F448B80"/>
    <w:lvl w:ilvl="0" w:tplc="29AC01A2">
      <w:start w:val="1"/>
      <w:numFmt w:val="bullet"/>
      <w:lvlText w:val="•"/>
      <w:lvlJc w:val="left"/>
      <w:pPr>
        <w:tabs>
          <w:tab w:val="num" w:pos="720"/>
        </w:tabs>
        <w:ind w:left="720" w:hanging="360"/>
      </w:pPr>
      <w:rPr>
        <w:rFonts w:ascii="Arial" w:hAnsi="Arial" w:hint="default"/>
      </w:rPr>
    </w:lvl>
    <w:lvl w:ilvl="1" w:tplc="F21CA1CC" w:tentative="1">
      <w:start w:val="1"/>
      <w:numFmt w:val="bullet"/>
      <w:lvlText w:val="•"/>
      <w:lvlJc w:val="left"/>
      <w:pPr>
        <w:tabs>
          <w:tab w:val="num" w:pos="1440"/>
        </w:tabs>
        <w:ind w:left="1440" w:hanging="360"/>
      </w:pPr>
      <w:rPr>
        <w:rFonts w:ascii="Arial" w:hAnsi="Arial" w:hint="default"/>
      </w:rPr>
    </w:lvl>
    <w:lvl w:ilvl="2" w:tplc="78B67B46" w:tentative="1">
      <w:start w:val="1"/>
      <w:numFmt w:val="bullet"/>
      <w:lvlText w:val="•"/>
      <w:lvlJc w:val="left"/>
      <w:pPr>
        <w:tabs>
          <w:tab w:val="num" w:pos="2160"/>
        </w:tabs>
        <w:ind w:left="2160" w:hanging="360"/>
      </w:pPr>
      <w:rPr>
        <w:rFonts w:ascii="Arial" w:hAnsi="Arial" w:hint="default"/>
      </w:rPr>
    </w:lvl>
    <w:lvl w:ilvl="3" w:tplc="8B744DF2" w:tentative="1">
      <w:start w:val="1"/>
      <w:numFmt w:val="bullet"/>
      <w:lvlText w:val="•"/>
      <w:lvlJc w:val="left"/>
      <w:pPr>
        <w:tabs>
          <w:tab w:val="num" w:pos="2880"/>
        </w:tabs>
        <w:ind w:left="2880" w:hanging="360"/>
      </w:pPr>
      <w:rPr>
        <w:rFonts w:ascii="Arial" w:hAnsi="Arial" w:hint="default"/>
      </w:rPr>
    </w:lvl>
    <w:lvl w:ilvl="4" w:tplc="8F4E20F4" w:tentative="1">
      <w:start w:val="1"/>
      <w:numFmt w:val="bullet"/>
      <w:lvlText w:val="•"/>
      <w:lvlJc w:val="left"/>
      <w:pPr>
        <w:tabs>
          <w:tab w:val="num" w:pos="3600"/>
        </w:tabs>
        <w:ind w:left="3600" w:hanging="360"/>
      </w:pPr>
      <w:rPr>
        <w:rFonts w:ascii="Arial" w:hAnsi="Arial" w:hint="default"/>
      </w:rPr>
    </w:lvl>
    <w:lvl w:ilvl="5" w:tplc="9A867B10" w:tentative="1">
      <w:start w:val="1"/>
      <w:numFmt w:val="bullet"/>
      <w:lvlText w:val="•"/>
      <w:lvlJc w:val="left"/>
      <w:pPr>
        <w:tabs>
          <w:tab w:val="num" w:pos="4320"/>
        </w:tabs>
        <w:ind w:left="4320" w:hanging="360"/>
      </w:pPr>
      <w:rPr>
        <w:rFonts w:ascii="Arial" w:hAnsi="Arial" w:hint="default"/>
      </w:rPr>
    </w:lvl>
    <w:lvl w:ilvl="6" w:tplc="763EA204" w:tentative="1">
      <w:start w:val="1"/>
      <w:numFmt w:val="bullet"/>
      <w:lvlText w:val="•"/>
      <w:lvlJc w:val="left"/>
      <w:pPr>
        <w:tabs>
          <w:tab w:val="num" w:pos="5040"/>
        </w:tabs>
        <w:ind w:left="5040" w:hanging="360"/>
      </w:pPr>
      <w:rPr>
        <w:rFonts w:ascii="Arial" w:hAnsi="Arial" w:hint="default"/>
      </w:rPr>
    </w:lvl>
    <w:lvl w:ilvl="7" w:tplc="E14E1A32" w:tentative="1">
      <w:start w:val="1"/>
      <w:numFmt w:val="bullet"/>
      <w:lvlText w:val="•"/>
      <w:lvlJc w:val="left"/>
      <w:pPr>
        <w:tabs>
          <w:tab w:val="num" w:pos="5760"/>
        </w:tabs>
        <w:ind w:left="5760" w:hanging="360"/>
      </w:pPr>
      <w:rPr>
        <w:rFonts w:ascii="Arial" w:hAnsi="Arial" w:hint="default"/>
      </w:rPr>
    </w:lvl>
    <w:lvl w:ilvl="8" w:tplc="721C3FBC"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25E01A8"/>
    <w:multiLevelType w:val="hybridMultilevel"/>
    <w:tmpl w:val="9062985E"/>
    <w:lvl w:ilvl="0" w:tplc="C664A15A">
      <w:start w:val="1"/>
      <w:numFmt w:val="bullet"/>
      <w:lvlText w:val="•"/>
      <w:lvlJc w:val="left"/>
      <w:pPr>
        <w:tabs>
          <w:tab w:val="num" w:pos="720"/>
        </w:tabs>
        <w:ind w:left="720" w:hanging="360"/>
      </w:pPr>
      <w:rPr>
        <w:rFonts w:ascii="Arial" w:hAnsi="Arial" w:hint="default"/>
      </w:rPr>
    </w:lvl>
    <w:lvl w:ilvl="1" w:tplc="6E08C5A8" w:tentative="1">
      <w:start w:val="1"/>
      <w:numFmt w:val="bullet"/>
      <w:lvlText w:val="•"/>
      <w:lvlJc w:val="left"/>
      <w:pPr>
        <w:tabs>
          <w:tab w:val="num" w:pos="1440"/>
        </w:tabs>
        <w:ind w:left="1440" w:hanging="360"/>
      </w:pPr>
      <w:rPr>
        <w:rFonts w:ascii="Arial" w:hAnsi="Arial" w:hint="default"/>
      </w:rPr>
    </w:lvl>
    <w:lvl w:ilvl="2" w:tplc="4C5A9D7E" w:tentative="1">
      <w:start w:val="1"/>
      <w:numFmt w:val="bullet"/>
      <w:lvlText w:val="•"/>
      <w:lvlJc w:val="left"/>
      <w:pPr>
        <w:tabs>
          <w:tab w:val="num" w:pos="2160"/>
        </w:tabs>
        <w:ind w:left="2160" w:hanging="360"/>
      </w:pPr>
      <w:rPr>
        <w:rFonts w:ascii="Arial" w:hAnsi="Arial" w:hint="default"/>
      </w:rPr>
    </w:lvl>
    <w:lvl w:ilvl="3" w:tplc="5C9681C2" w:tentative="1">
      <w:start w:val="1"/>
      <w:numFmt w:val="bullet"/>
      <w:lvlText w:val="•"/>
      <w:lvlJc w:val="left"/>
      <w:pPr>
        <w:tabs>
          <w:tab w:val="num" w:pos="2880"/>
        </w:tabs>
        <w:ind w:left="2880" w:hanging="360"/>
      </w:pPr>
      <w:rPr>
        <w:rFonts w:ascii="Arial" w:hAnsi="Arial" w:hint="default"/>
      </w:rPr>
    </w:lvl>
    <w:lvl w:ilvl="4" w:tplc="80166E86" w:tentative="1">
      <w:start w:val="1"/>
      <w:numFmt w:val="bullet"/>
      <w:lvlText w:val="•"/>
      <w:lvlJc w:val="left"/>
      <w:pPr>
        <w:tabs>
          <w:tab w:val="num" w:pos="3600"/>
        </w:tabs>
        <w:ind w:left="3600" w:hanging="360"/>
      </w:pPr>
      <w:rPr>
        <w:rFonts w:ascii="Arial" w:hAnsi="Arial" w:hint="default"/>
      </w:rPr>
    </w:lvl>
    <w:lvl w:ilvl="5" w:tplc="8546764C" w:tentative="1">
      <w:start w:val="1"/>
      <w:numFmt w:val="bullet"/>
      <w:lvlText w:val="•"/>
      <w:lvlJc w:val="left"/>
      <w:pPr>
        <w:tabs>
          <w:tab w:val="num" w:pos="4320"/>
        </w:tabs>
        <w:ind w:left="4320" w:hanging="360"/>
      </w:pPr>
      <w:rPr>
        <w:rFonts w:ascii="Arial" w:hAnsi="Arial" w:hint="default"/>
      </w:rPr>
    </w:lvl>
    <w:lvl w:ilvl="6" w:tplc="E16465B2" w:tentative="1">
      <w:start w:val="1"/>
      <w:numFmt w:val="bullet"/>
      <w:lvlText w:val="•"/>
      <w:lvlJc w:val="left"/>
      <w:pPr>
        <w:tabs>
          <w:tab w:val="num" w:pos="5040"/>
        </w:tabs>
        <w:ind w:left="5040" w:hanging="360"/>
      </w:pPr>
      <w:rPr>
        <w:rFonts w:ascii="Arial" w:hAnsi="Arial" w:hint="default"/>
      </w:rPr>
    </w:lvl>
    <w:lvl w:ilvl="7" w:tplc="F6A0EFD0" w:tentative="1">
      <w:start w:val="1"/>
      <w:numFmt w:val="bullet"/>
      <w:lvlText w:val="•"/>
      <w:lvlJc w:val="left"/>
      <w:pPr>
        <w:tabs>
          <w:tab w:val="num" w:pos="5760"/>
        </w:tabs>
        <w:ind w:left="5760" w:hanging="360"/>
      </w:pPr>
      <w:rPr>
        <w:rFonts w:ascii="Arial" w:hAnsi="Arial" w:hint="default"/>
      </w:rPr>
    </w:lvl>
    <w:lvl w:ilvl="8" w:tplc="8EA2773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77E2CA8"/>
    <w:multiLevelType w:val="hybridMultilevel"/>
    <w:tmpl w:val="AAD41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9D68DB"/>
    <w:multiLevelType w:val="hybridMultilevel"/>
    <w:tmpl w:val="D908A4BA"/>
    <w:lvl w:ilvl="0" w:tplc="11C8A93C">
      <w:start w:val="1"/>
      <w:numFmt w:val="bullet"/>
      <w:lvlText w:val="•"/>
      <w:lvlJc w:val="left"/>
      <w:pPr>
        <w:tabs>
          <w:tab w:val="num" w:pos="720"/>
        </w:tabs>
        <w:ind w:left="720" w:hanging="360"/>
      </w:pPr>
      <w:rPr>
        <w:rFonts w:ascii="Arial" w:hAnsi="Arial" w:hint="default"/>
      </w:rPr>
    </w:lvl>
    <w:lvl w:ilvl="1" w:tplc="F94691F4" w:tentative="1">
      <w:start w:val="1"/>
      <w:numFmt w:val="bullet"/>
      <w:lvlText w:val="•"/>
      <w:lvlJc w:val="left"/>
      <w:pPr>
        <w:tabs>
          <w:tab w:val="num" w:pos="1440"/>
        </w:tabs>
        <w:ind w:left="1440" w:hanging="360"/>
      </w:pPr>
      <w:rPr>
        <w:rFonts w:ascii="Arial" w:hAnsi="Arial" w:hint="default"/>
      </w:rPr>
    </w:lvl>
    <w:lvl w:ilvl="2" w:tplc="C92078BE" w:tentative="1">
      <w:start w:val="1"/>
      <w:numFmt w:val="bullet"/>
      <w:lvlText w:val="•"/>
      <w:lvlJc w:val="left"/>
      <w:pPr>
        <w:tabs>
          <w:tab w:val="num" w:pos="2160"/>
        </w:tabs>
        <w:ind w:left="2160" w:hanging="360"/>
      </w:pPr>
      <w:rPr>
        <w:rFonts w:ascii="Arial" w:hAnsi="Arial" w:hint="default"/>
      </w:rPr>
    </w:lvl>
    <w:lvl w:ilvl="3" w:tplc="9EF83FDE" w:tentative="1">
      <w:start w:val="1"/>
      <w:numFmt w:val="bullet"/>
      <w:lvlText w:val="•"/>
      <w:lvlJc w:val="left"/>
      <w:pPr>
        <w:tabs>
          <w:tab w:val="num" w:pos="2880"/>
        </w:tabs>
        <w:ind w:left="2880" w:hanging="360"/>
      </w:pPr>
      <w:rPr>
        <w:rFonts w:ascii="Arial" w:hAnsi="Arial" w:hint="default"/>
      </w:rPr>
    </w:lvl>
    <w:lvl w:ilvl="4" w:tplc="AD1A453A" w:tentative="1">
      <w:start w:val="1"/>
      <w:numFmt w:val="bullet"/>
      <w:lvlText w:val="•"/>
      <w:lvlJc w:val="left"/>
      <w:pPr>
        <w:tabs>
          <w:tab w:val="num" w:pos="3600"/>
        </w:tabs>
        <w:ind w:left="3600" w:hanging="360"/>
      </w:pPr>
      <w:rPr>
        <w:rFonts w:ascii="Arial" w:hAnsi="Arial" w:hint="default"/>
      </w:rPr>
    </w:lvl>
    <w:lvl w:ilvl="5" w:tplc="3A6A48D6" w:tentative="1">
      <w:start w:val="1"/>
      <w:numFmt w:val="bullet"/>
      <w:lvlText w:val="•"/>
      <w:lvlJc w:val="left"/>
      <w:pPr>
        <w:tabs>
          <w:tab w:val="num" w:pos="4320"/>
        </w:tabs>
        <w:ind w:left="4320" w:hanging="360"/>
      </w:pPr>
      <w:rPr>
        <w:rFonts w:ascii="Arial" w:hAnsi="Arial" w:hint="default"/>
      </w:rPr>
    </w:lvl>
    <w:lvl w:ilvl="6" w:tplc="BA249BB0" w:tentative="1">
      <w:start w:val="1"/>
      <w:numFmt w:val="bullet"/>
      <w:lvlText w:val="•"/>
      <w:lvlJc w:val="left"/>
      <w:pPr>
        <w:tabs>
          <w:tab w:val="num" w:pos="5040"/>
        </w:tabs>
        <w:ind w:left="5040" w:hanging="360"/>
      </w:pPr>
      <w:rPr>
        <w:rFonts w:ascii="Arial" w:hAnsi="Arial" w:hint="default"/>
      </w:rPr>
    </w:lvl>
    <w:lvl w:ilvl="7" w:tplc="5150F46C" w:tentative="1">
      <w:start w:val="1"/>
      <w:numFmt w:val="bullet"/>
      <w:lvlText w:val="•"/>
      <w:lvlJc w:val="left"/>
      <w:pPr>
        <w:tabs>
          <w:tab w:val="num" w:pos="5760"/>
        </w:tabs>
        <w:ind w:left="5760" w:hanging="360"/>
      </w:pPr>
      <w:rPr>
        <w:rFonts w:ascii="Arial" w:hAnsi="Arial" w:hint="default"/>
      </w:rPr>
    </w:lvl>
    <w:lvl w:ilvl="8" w:tplc="749ACB4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E905B23"/>
    <w:multiLevelType w:val="hybridMultilevel"/>
    <w:tmpl w:val="2BF825FA"/>
    <w:lvl w:ilvl="0" w:tplc="3A343A2E">
      <w:start w:val="1"/>
      <w:numFmt w:val="decimal"/>
      <w:lvlText w:val="%1."/>
      <w:lvlJc w:val="left"/>
      <w:pPr>
        <w:tabs>
          <w:tab w:val="num" w:pos="720"/>
        </w:tabs>
        <w:ind w:left="720" w:hanging="360"/>
      </w:pPr>
    </w:lvl>
    <w:lvl w:ilvl="1" w:tplc="835CF274" w:tentative="1">
      <w:start w:val="1"/>
      <w:numFmt w:val="decimal"/>
      <w:lvlText w:val="%2."/>
      <w:lvlJc w:val="left"/>
      <w:pPr>
        <w:tabs>
          <w:tab w:val="num" w:pos="1440"/>
        </w:tabs>
        <w:ind w:left="1440" w:hanging="360"/>
      </w:pPr>
    </w:lvl>
    <w:lvl w:ilvl="2" w:tplc="DFBA9342" w:tentative="1">
      <w:start w:val="1"/>
      <w:numFmt w:val="decimal"/>
      <w:lvlText w:val="%3."/>
      <w:lvlJc w:val="left"/>
      <w:pPr>
        <w:tabs>
          <w:tab w:val="num" w:pos="2160"/>
        </w:tabs>
        <w:ind w:left="2160" w:hanging="360"/>
      </w:pPr>
    </w:lvl>
    <w:lvl w:ilvl="3" w:tplc="AEC2F11C" w:tentative="1">
      <w:start w:val="1"/>
      <w:numFmt w:val="decimal"/>
      <w:lvlText w:val="%4."/>
      <w:lvlJc w:val="left"/>
      <w:pPr>
        <w:tabs>
          <w:tab w:val="num" w:pos="2880"/>
        </w:tabs>
        <w:ind w:left="2880" w:hanging="360"/>
      </w:pPr>
    </w:lvl>
    <w:lvl w:ilvl="4" w:tplc="4CDC2442" w:tentative="1">
      <w:start w:val="1"/>
      <w:numFmt w:val="decimal"/>
      <w:lvlText w:val="%5."/>
      <w:lvlJc w:val="left"/>
      <w:pPr>
        <w:tabs>
          <w:tab w:val="num" w:pos="3600"/>
        </w:tabs>
        <w:ind w:left="3600" w:hanging="360"/>
      </w:pPr>
    </w:lvl>
    <w:lvl w:ilvl="5" w:tplc="3D6809C2" w:tentative="1">
      <w:start w:val="1"/>
      <w:numFmt w:val="decimal"/>
      <w:lvlText w:val="%6."/>
      <w:lvlJc w:val="left"/>
      <w:pPr>
        <w:tabs>
          <w:tab w:val="num" w:pos="4320"/>
        </w:tabs>
        <w:ind w:left="4320" w:hanging="360"/>
      </w:pPr>
    </w:lvl>
    <w:lvl w:ilvl="6" w:tplc="BCC8FC82" w:tentative="1">
      <w:start w:val="1"/>
      <w:numFmt w:val="decimal"/>
      <w:lvlText w:val="%7."/>
      <w:lvlJc w:val="left"/>
      <w:pPr>
        <w:tabs>
          <w:tab w:val="num" w:pos="5040"/>
        </w:tabs>
        <w:ind w:left="5040" w:hanging="360"/>
      </w:pPr>
    </w:lvl>
    <w:lvl w:ilvl="7" w:tplc="CBA861DE" w:tentative="1">
      <w:start w:val="1"/>
      <w:numFmt w:val="decimal"/>
      <w:lvlText w:val="%8."/>
      <w:lvlJc w:val="left"/>
      <w:pPr>
        <w:tabs>
          <w:tab w:val="num" w:pos="5760"/>
        </w:tabs>
        <w:ind w:left="5760" w:hanging="360"/>
      </w:pPr>
    </w:lvl>
    <w:lvl w:ilvl="8" w:tplc="20F4B950" w:tentative="1">
      <w:start w:val="1"/>
      <w:numFmt w:val="decimal"/>
      <w:lvlText w:val="%9."/>
      <w:lvlJc w:val="left"/>
      <w:pPr>
        <w:tabs>
          <w:tab w:val="num" w:pos="6480"/>
        </w:tabs>
        <w:ind w:left="6480" w:hanging="360"/>
      </w:pPr>
    </w:lvl>
  </w:abstractNum>
  <w:abstractNum w:abstractNumId="6" w15:restartNumberingAfterBreak="0">
    <w:nsid w:val="10943E18"/>
    <w:multiLevelType w:val="multilevel"/>
    <w:tmpl w:val="AB1A8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F94290F"/>
    <w:multiLevelType w:val="hybridMultilevel"/>
    <w:tmpl w:val="B1602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E83F51"/>
    <w:multiLevelType w:val="hybridMultilevel"/>
    <w:tmpl w:val="8FECD300"/>
    <w:lvl w:ilvl="0" w:tplc="04090003">
      <w:start w:val="1"/>
      <w:numFmt w:val="bullet"/>
      <w:lvlText w:val="o"/>
      <w:lvlJc w:val="left"/>
      <w:pPr>
        <w:ind w:left="810" w:hanging="360"/>
      </w:pPr>
      <w:rPr>
        <w:rFonts w:ascii="Courier New" w:hAnsi="Courier New" w:cs="Courier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9" w15:restartNumberingAfterBreak="0">
    <w:nsid w:val="24951621"/>
    <w:multiLevelType w:val="hybridMultilevel"/>
    <w:tmpl w:val="6C28BD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8C3B81"/>
    <w:multiLevelType w:val="hybridMultilevel"/>
    <w:tmpl w:val="2D2C7150"/>
    <w:lvl w:ilvl="0" w:tplc="748C7B8A">
      <w:start w:val="1"/>
      <w:numFmt w:val="bullet"/>
      <w:lvlText w:val="•"/>
      <w:lvlJc w:val="left"/>
      <w:pPr>
        <w:tabs>
          <w:tab w:val="num" w:pos="720"/>
        </w:tabs>
        <w:ind w:left="720" w:hanging="360"/>
      </w:pPr>
      <w:rPr>
        <w:rFonts w:ascii="Arial" w:hAnsi="Arial" w:hint="default"/>
      </w:rPr>
    </w:lvl>
    <w:lvl w:ilvl="1" w:tplc="F898A49A" w:tentative="1">
      <w:start w:val="1"/>
      <w:numFmt w:val="bullet"/>
      <w:lvlText w:val="•"/>
      <w:lvlJc w:val="left"/>
      <w:pPr>
        <w:tabs>
          <w:tab w:val="num" w:pos="1440"/>
        </w:tabs>
        <w:ind w:left="1440" w:hanging="360"/>
      </w:pPr>
      <w:rPr>
        <w:rFonts w:ascii="Arial" w:hAnsi="Arial" w:hint="default"/>
      </w:rPr>
    </w:lvl>
    <w:lvl w:ilvl="2" w:tplc="4D6459CA" w:tentative="1">
      <w:start w:val="1"/>
      <w:numFmt w:val="bullet"/>
      <w:lvlText w:val="•"/>
      <w:lvlJc w:val="left"/>
      <w:pPr>
        <w:tabs>
          <w:tab w:val="num" w:pos="2160"/>
        </w:tabs>
        <w:ind w:left="2160" w:hanging="360"/>
      </w:pPr>
      <w:rPr>
        <w:rFonts w:ascii="Arial" w:hAnsi="Arial" w:hint="default"/>
      </w:rPr>
    </w:lvl>
    <w:lvl w:ilvl="3" w:tplc="F1D4E2C0" w:tentative="1">
      <w:start w:val="1"/>
      <w:numFmt w:val="bullet"/>
      <w:lvlText w:val="•"/>
      <w:lvlJc w:val="left"/>
      <w:pPr>
        <w:tabs>
          <w:tab w:val="num" w:pos="2880"/>
        </w:tabs>
        <w:ind w:left="2880" w:hanging="360"/>
      </w:pPr>
      <w:rPr>
        <w:rFonts w:ascii="Arial" w:hAnsi="Arial" w:hint="default"/>
      </w:rPr>
    </w:lvl>
    <w:lvl w:ilvl="4" w:tplc="8AEAA90A" w:tentative="1">
      <w:start w:val="1"/>
      <w:numFmt w:val="bullet"/>
      <w:lvlText w:val="•"/>
      <w:lvlJc w:val="left"/>
      <w:pPr>
        <w:tabs>
          <w:tab w:val="num" w:pos="3600"/>
        </w:tabs>
        <w:ind w:left="3600" w:hanging="360"/>
      </w:pPr>
      <w:rPr>
        <w:rFonts w:ascii="Arial" w:hAnsi="Arial" w:hint="default"/>
      </w:rPr>
    </w:lvl>
    <w:lvl w:ilvl="5" w:tplc="5CCC721E" w:tentative="1">
      <w:start w:val="1"/>
      <w:numFmt w:val="bullet"/>
      <w:lvlText w:val="•"/>
      <w:lvlJc w:val="left"/>
      <w:pPr>
        <w:tabs>
          <w:tab w:val="num" w:pos="4320"/>
        </w:tabs>
        <w:ind w:left="4320" w:hanging="360"/>
      </w:pPr>
      <w:rPr>
        <w:rFonts w:ascii="Arial" w:hAnsi="Arial" w:hint="default"/>
      </w:rPr>
    </w:lvl>
    <w:lvl w:ilvl="6" w:tplc="84F05D56" w:tentative="1">
      <w:start w:val="1"/>
      <w:numFmt w:val="bullet"/>
      <w:lvlText w:val="•"/>
      <w:lvlJc w:val="left"/>
      <w:pPr>
        <w:tabs>
          <w:tab w:val="num" w:pos="5040"/>
        </w:tabs>
        <w:ind w:left="5040" w:hanging="360"/>
      </w:pPr>
      <w:rPr>
        <w:rFonts w:ascii="Arial" w:hAnsi="Arial" w:hint="default"/>
      </w:rPr>
    </w:lvl>
    <w:lvl w:ilvl="7" w:tplc="49EA2E88" w:tentative="1">
      <w:start w:val="1"/>
      <w:numFmt w:val="bullet"/>
      <w:lvlText w:val="•"/>
      <w:lvlJc w:val="left"/>
      <w:pPr>
        <w:tabs>
          <w:tab w:val="num" w:pos="5760"/>
        </w:tabs>
        <w:ind w:left="5760" w:hanging="360"/>
      </w:pPr>
      <w:rPr>
        <w:rFonts w:ascii="Arial" w:hAnsi="Arial" w:hint="default"/>
      </w:rPr>
    </w:lvl>
    <w:lvl w:ilvl="8" w:tplc="7428C45E"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FE06DB6"/>
    <w:multiLevelType w:val="hybridMultilevel"/>
    <w:tmpl w:val="4E1283BC"/>
    <w:lvl w:ilvl="0" w:tplc="48287A70">
      <w:start w:val="1"/>
      <w:numFmt w:val="bullet"/>
      <w:lvlText w:val="•"/>
      <w:lvlJc w:val="left"/>
      <w:pPr>
        <w:tabs>
          <w:tab w:val="num" w:pos="720"/>
        </w:tabs>
        <w:ind w:left="720" w:hanging="360"/>
      </w:pPr>
      <w:rPr>
        <w:rFonts w:ascii="Arial" w:hAnsi="Arial" w:hint="default"/>
      </w:rPr>
    </w:lvl>
    <w:lvl w:ilvl="1" w:tplc="A1FE18D6" w:tentative="1">
      <w:start w:val="1"/>
      <w:numFmt w:val="bullet"/>
      <w:lvlText w:val="•"/>
      <w:lvlJc w:val="left"/>
      <w:pPr>
        <w:tabs>
          <w:tab w:val="num" w:pos="1440"/>
        </w:tabs>
        <w:ind w:left="1440" w:hanging="360"/>
      </w:pPr>
      <w:rPr>
        <w:rFonts w:ascii="Arial" w:hAnsi="Arial" w:hint="default"/>
      </w:rPr>
    </w:lvl>
    <w:lvl w:ilvl="2" w:tplc="1866427C" w:tentative="1">
      <w:start w:val="1"/>
      <w:numFmt w:val="bullet"/>
      <w:lvlText w:val="•"/>
      <w:lvlJc w:val="left"/>
      <w:pPr>
        <w:tabs>
          <w:tab w:val="num" w:pos="2160"/>
        </w:tabs>
        <w:ind w:left="2160" w:hanging="360"/>
      </w:pPr>
      <w:rPr>
        <w:rFonts w:ascii="Arial" w:hAnsi="Arial" w:hint="default"/>
      </w:rPr>
    </w:lvl>
    <w:lvl w:ilvl="3" w:tplc="0C78CC3A" w:tentative="1">
      <w:start w:val="1"/>
      <w:numFmt w:val="bullet"/>
      <w:lvlText w:val="•"/>
      <w:lvlJc w:val="left"/>
      <w:pPr>
        <w:tabs>
          <w:tab w:val="num" w:pos="2880"/>
        </w:tabs>
        <w:ind w:left="2880" w:hanging="360"/>
      </w:pPr>
      <w:rPr>
        <w:rFonts w:ascii="Arial" w:hAnsi="Arial" w:hint="default"/>
      </w:rPr>
    </w:lvl>
    <w:lvl w:ilvl="4" w:tplc="871CC228" w:tentative="1">
      <w:start w:val="1"/>
      <w:numFmt w:val="bullet"/>
      <w:lvlText w:val="•"/>
      <w:lvlJc w:val="left"/>
      <w:pPr>
        <w:tabs>
          <w:tab w:val="num" w:pos="3600"/>
        </w:tabs>
        <w:ind w:left="3600" w:hanging="360"/>
      </w:pPr>
      <w:rPr>
        <w:rFonts w:ascii="Arial" w:hAnsi="Arial" w:hint="default"/>
      </w:rPr>
    </w:lvl>
    <w:lvl w:ilvl="5" w:tplc="035C3002" w:tentative="1">
      <w:start w:val="1"/>
      <w:numFmt w:val="bullet"/>
      <w:lvlText w:val="•"/>
      <w:lvlJc w:val="left"/>
      <w:pPr>
        <w:tabs>
          <w:tab w:val="num" w:pos="4320"/>
        </w:tabs>
        <w:ind w:left="4320" w:hanging="360"/>
      </w:pPr>
      <w:rPr>
        <w:rFonts w:ascii="Arial" w:hAnsi="Arial" w:hint="default"/>
      </w:rPr>
    </w:lvl>
    <w:lvl w:ilvl="6" w:tplc="05A62062" w:tentative="1">
      <w:start w:val="1"/>
      <w:numFmt w:val="bullet"/>
      <w:lvlText w:val="•"/>
      <w:lvlJc w:val="left"/>
      <w:pPr>
        <w:tabs>
          <w:tab w:val="num" w:pos="5040"/>
        </w:tabs>
        <w:ind w:left="5040" w:hanging="360"/>
      </w:pPr>
      <w:rPr>
        <w:rFonts w:ascii="Arial" w:hAnsi="Arial" w:hint="default"/>
      </w:rPr>
    </w:lvl>
    <w:lvl w:ilvl="7" w:tplc="C8B0B4B8" w:tentative="1">
      <w:start w:val="1"/>
      <w:numFmt w:val="bullet"/>
      <w:lvlText w:val="•"/>
      <w:lvlJc w:val="left"/>
      <w:pPr>
        <w:tabs>
          <w:tab w:val="num" w:pos="5760"/>
        </w:tabs>
        <w:ind w:left="5760" w:hanging="360"/>
      </w:pPr>
      <w:rPr>
        <w:rFonts w:ascii="Arial" w:hAnsi="Arial" w:hint="default"/>
      </w:rPr>
    </w:lvl>
    <w:lvl w:ilvl="8" w:tplc="A79EC8A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2EA7A98"/>
    <w:multiLevelType w:val="hybridMultilevel"/>
    <w:tmpl w:val="E94A5086"/>
    <w:lvl w:ilvl="0" w:tplc="109A3BFA">
      <w:start w:val="1"/>
      <w:numFmt w:val="bullet"/>
      <w:lvlText w:val="?"/>
      <w:lvlJc w:val="left"/>
      <w:pPr>
        <w:ind w:left="360" w:hanging="360"/>
      </w:pPr>
      <w:rPr>
        <w:rFonts w:ascii="Miriam Fixed" w:hAnsi="Miriam Fixed"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347D5CD4"/>
    <w:multiLevelType w:val="hybridMultilevel"/>
    <w:tmpl w:val="12163304"/>
    <w:lvl w:ilvl="0" w:tplc="0409000D">
      <w:start w:val="1"/>
      <w:numFmt w:val="bullet"/>
      <w:lvlText w:val=""/>
      <w:lvlJc w:val="left"/>
      <w:pPr>
        <w:ind w:left="540" w:hanging="360"/>
      </w:pPr>
      <w:rPr>
        <w:rFonts w:ascii="Wingdings" w:hAnsi="Wingdings" w:hint="default"/>
      </w:rPr>
    </w:lvl>
    <w:lvl w:ilvl="1" w:tplc="04090003">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4" w15:restartNumberingAfterBreak="0">
    <w:nsid w:val="3A0A627F"/>
    <w:multiLevelType w:val="hybridMultilevel"/>
    <w:tmpl w:val="C6461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4EB4095"/>
    <w:multiLevelType w:val="hybridMultilevel"/>
    <w:tmpl w:val="9908638E"/>
    <w:lvl w:ilvl="0" w:tplc="A2FE7D20">
      <w:start w:val="1"/>
      <w:numFmt w:val="bullet"/>
      <w:lvlText w:val="•"/>
      <w:lvlJc w:val="left"/>
      <w:pPr>
        <w:tabs>
          <w:tab w:val="num" w:pos="720"/>
        </w:tabs>
        <w:ind w:left="720" w:hanging="360"/>
      </w:pPr>
      <w:rPr>
        <w:rFonts w:ascii="Arial" w:hAnsi="Arial" w:hint="default"/>
      </w:rPr>
    </w:lvl>
    <w:lvl w:ilvl="1" w:tplc="A842757C" w:tentative="1">
      <w:start w:val="1"/>
      <w:numFmt w:val="bullet"/>
      <w:lvlText w:val="•"/>
      <w:lvlJc w:val="left"/>
      <w:pPr>
        <w:tabs>
          <w:tab w:val="num" w:pos="1440"/>
        </w:tabs>
        <w:ind w:left="1440" w:hanging="360"/>
      </w:pPr>
      <w:rPr>
        <w:rFonts w:ascii="Arial" w:hAnsi="Arial" w:hint="default"/>
      </w:rPr>
    </w:lvl>
    <w:lvl w:ilvl="2" w:tplc="89529C04" w:tentative="1">
      <w:start w:val="1"/>
      <w:numFmt w:val="bullet"/>
      <w:lvlText w:val="•"/>
      <w:lvlJc w:val="left"/>
      <w:pPr>
        <w:tabs>
          <w:tab w:val="num" w:pos="2160"/>
        </w:tabs>
        <w:ind w:left="2160" w:hanging="360"/>
      </w:pPr>
      <w:rPr>
        <w:rFonts w:ascii="Arial" w:hAnsi="Arial" w:hint="default"/>
      </w:rPr>
    </w:lvl>
    <w:lvl w:ilvl="3" w:tplc="BD7E1D4C" w:tentative="1">
      <w:start w:val="1"/>
      <w:numFmt w:val="bullet"/>
      <w:lvlText w:val="•"/>
      <w:lvlJc w:val="left"/>
      <w:pPr>
        <w:tabs>
          <w:tab w:val="num" w:pos="2880"/>
        </w:tabs>
        <w:ind w:left="2880" w:hanging="360"/>
      </w:pPr>
      <w:rPr>
        <w:rFonts w:ascii="Arial" w:hAnsi="Arial" w:hint="default"/>
      </w:rPr>
    </w:lvl>
    <w:lvl w:ilvl="4" w:tplc="534AC9EE" w:tentative="1">
      <w:start w:val="1"/>
      <w:numFmt w:val="bullet"/>
      <w:lvlText w:val="•"/>
      <w:lvlJc w:val="left"/>
      <w:pPr>
        <w:tabs>
          <w:tab w:val="num" w:pos="3600"/>
        </w:tabs>
        <w:ind w:left="3600" w:hanging="360"/>
      </w:pPr>
      <w:rPr>
        <w:rFonts w:ascii="Arial" w:hAnsi="Arial" w:hint="default"/>
      </w:rPr>
    </w:lvl>
    <w:lvl w:ilvl="5" w:tplc="67407D16" w:tentative="1">
      <w:start w:val="1"/>
      <w:numFmt w:val="bullet"/>
      <w:lvlText w:val="•"/>
      <w:lvlJc w:val="left"/>
      <w:pPr>
        <w:tabs>
          <w:tab w:val="num" w:pos="4320"/>
        </w:tabs>
        <w:ind w:left="4320" w:hanging="360"/>
      </w:pPr>
      <w:rPr>
        <w:rFonts w:ascii="Arial" w:hAnsi="Arial" w:hint="default"/>
      </w:rPr>
    </w:lvl>
    <w:lvl w:ilvl="6" w:tplc="14DA715E" w:tentative="1">
      <w:start w:val="1"/>
      <w:numFmt w:val="bullet"/>
      <w:lvlText w:val="•"/>
      <w:lvlJc w:val="left"/>
      <w:pPr>
        <w:tabs>
          <w:tab w:val="num" w:pos="5040"/>
        </w:tabs>
        <w:ind w:left="5040" w:hanging="360"/>
      </w:pPr>
      <w:rPr>
        <w:rFonts w:ascii="Arial" w:hAnsi="Arial" w:hint="default"/>
      </w:rPr>
    </w:lvl>
    <w:lvl w:ilvl="7" w:tplc="B5D066E0" w:tentative="1">
      <w:start w:val="1"/>
      <w:numFmt w:val="bullet"/>
      <w:lvlText w:val="•"/>
      <w:lvlJc w:val="left"/>
      <w:pPr>
        <w:tabs>
          <w:tab w:val="num" w:pos="5760"/>
        </w:tabs>
        <w:ind w:left="5760" w:hanging="360"/>
      </w:pPr>
      <w:rPr>
        <w:rFonts w:ascii="Arial" w:hAnsi="Arial" w:hint="default"/>
      </w:rPr>
    </w:lvl>
    <w:lvl w:ilvl="8" w:tplc="211C81C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482E6057"/>
    <w:multiLevelType w:val="hybridMultilevel"/>
    <w:tmpl w:val="5F2A3D7A"/>
    <w:lvl w:ilvl="0" w:tplc="04090005">
      <w:start w:val="1"/>
      <w:numFmt w:val="bullet"/>
      <w:lvlText w:val=""/>
      <w:lvlJc w:val="left"/>
      <w:pPr>
        <w:ind w:left="547" w:hanging="360"/>
      </w:pPr>
      <w:rPr>
        <w:rFonts w:ascii="Wingdings" w:hAnsi="Wingdings" w:hint="default"/>
      </w:rPr>
    </w:lvl>
    <w:lvl w:ilvl="1" w:tplc="FFFFFFFF">
      <w:start w:val="1"/>
      <w:numFmt w:val="bullet"/>
      <w:lvlText w:val="o"/>
      <w:lvlJc w:val="left"/>
      <w:pPr>
        <w:ind w:left="1267" w:hanging="360"/>
      </w:pPr>
      <w:rPr>
        <w:rFonts w:ascii="Courier New" w:hAnsi="Courier New" w:cs="Courier New" w:hint="default"/>
      </w:rPr>
    </w:lvl>
    <w:lvl w:ilvl="2" w:tplc="FFFFFFFF">
      <w:start w:val="1"/>
      <w:numFmt w:val="bullet"/>
      <w:lvlText w:val=""/>
      <w:lvlJc w:val="left"/>
      <w:pPr>
        <w:ind w:left="1987" w:hanging="360"/>
      </w:pPr>
      <w:rPr>
        <w:rFonts w:ascii="Wingdings" w:hAnsi="Wingdings" w:hint="default"/>
      </w:rPr>
    </w:lvl>
    <w:lvl w:ilvl="3" w:tplc="FFFFFFFF" w:tentative="1">
      <w:start w:val="1"/>
      <w:numFmt w:val="bullet"/>
      <w:lvlText w:val=""/>
      <w:lvlJc w:val="left"/>
      <w:pPr>
        <w:ind w:left="2707" w:hanging="360"/>
      </w:pPr>
      <w:rPr>
        <w:rFonts w:ascii="Symbol" w:hAnsi="Symbol" w:hint="default"/>
      </w:rPr>
    </w:lvl>
    <w:lvl w:ilvl="4" w:tplc="FFFFFFFF" w:tentative="1">
      <w:start w:val="1"/>
      <w:numFmt w:val="bullet"/>
      <w:lvlText w:val="o"/>
      <w:lvlJc w:val="left"/>
      <w:pPr>
        <w:ind w:left="3427" w:hanging="360"/>
      </w:pPr>
      <w:rPr>
        <w:rFonts w:ascii="Courier New" w:hAnsi="Courier New" w:cs="Courier New" w:hint="default"/>
      </w:rPr>
    </w:lvl>
    <w:lvl w:ilvl="5" w:tplc="FFFFFFFF" w:tentative="1">
      <w:start w:val="1"/>
      <w:numFmt w:val="bullet"/>
      <w:lvlText w:val=""/>
      <w:lvlJc w:val="left"/>
      <w:pPr>
        <w:ind w:left="4147" w:hanging="360"/>
      </w:pPr>
      <w:rPr>
        <w:rFonts w:ascii="Wingdings" w:hAnsi="Wingdings" w:hint="default"/>
      </w:rPr>
    </w:lvl>
    <w:lvl w:ilvl="6" w:tplc="FFFFFFFF" w:tentative="1">
      <w:start w:val="1"/>
      <w:numFmt w:val="bullet"/>
      <w:lvlText w:val=""/>
      <w:lvlJc w:val="left"/>
      <w:pPr>
        <w:ind w:left="4867" w:hanging="360"/>
      </w:pPr>
      <w:rPr>
        <w:rFonts w:ascii="Symbol" w:hAnsi="Symbol" w:hint="default"/>
      </w:rPr>
    </w:lvl>
    <w:lvl w:ilvl="7" w:tplc="FFFFFFFF" w:tentative="1">
      <w:start w:val="1"/>
      <w:numFmt w:val="bullet"/>
      <w:lvlText w:val="o"/>
      <w:lvlJc w:val="left"/>
      <w:pPr>
        <w:ind w:left="5587" w:hanging="360"/>
      </w:pPr>
      <w:rPr>
        <w:rFonts w:ascii="Courier New" w:hAnsi="Courier New" w:cs="Courier New" w:hint="default"/>
      </w:rPr>
    </w:lvl>
    <w:lvl w:ilvl="8" w:tplc="FFFFFFFF" w:tentative="1">
      <w:start w:val="1"/>
      <w:numFmt w:val="bullet"/>
      <w:lvlText w:val=""/>
      <w:lvlJc w:val="left"/>
      <w:pPr>
        <w:ind w:left="6307" w:hanging="360"/>
      </w:pPr>
      <w:rPr>
        <w:rFonts w:ascii="Wingdings" w:hAnsi="Wingdings" w:hint="default"/>
      </w:rPr>
    </w:lvl>
  </w:abstractNum>
  <w:abstractNum w:abstractNumId="17" w15:restartNumberingAfterBreak="0">
    <w:nsid w:val="49F63781"/>
    <w:multiLevelType w:val="hybridMultilevel"/>
    <w:tmpl w:val="414A2EA6"/>
    <w:lvl w:ilvl="0" w:tplc="0FBCEE5C">
      <w:start w:val="1"/>
      <w:numFmt w:val="bullet"/>
      <w:lvlText w:val="•"/>
      <w:lvlJc w:val="left"/>
      <w:pPr>
        <w:tabs>
          <w:tab w:val="num" w:pos="720"/>
        </w:tabs>
        <w:ind w:left="720" w:hanging="360"/>
      </w:pPr>
      <w:rPr>
        <w:rFonts w:ascii="Arial" w:hAnsi="Arial" w:hint="default"/>
      </w:rPr>
    </w:lvl>
    <w:lvl w:ilvl="1" w:tplc="C5F83DC4" w:tentative="1">
      <w:start w:val="1"/>
      <w:numFmt w:val="bullet"/>
      <w:lvlText w:val="•"/>
      <w:lvlJc w:val="left"/>
      <w:pPr>
        <w:tabs>
          <w:tab w:val="num" w:pos="1440"/>
        </w:tabs>
        <w:ind w:left="1440" w:hanging="360"/>
      </w:pPr>
      <w:rPr>
        <w:rFonts w:ascii="Arial" w:hAnsi="Arial" w:hint="default"/>
      </w:rPr>
    </w:lvl>
    <w:lvl w:ilvl="2" w:tplc="F35A6838" w:tentative="1">
      <w:start w:val="1"/>
      <w:numFmt w:val="bullet"/>
      <w:lvlText w:val="•"/>
      <w:lvlJc w:val="left"/>
      <w:pPr>
        <w:tabs>
          <w:tab w:val="num" w:pos="2160"/>
        </w:tabs>
        <w:ind w:left="2160" w:hanging="360"/>
      </w:pPr>
      <w:rPr>
        <w:rFonts w:ascii="Arial" w:hAnsi="Arial" w:hint="default"/>
      </w:rPr>
    </w:lvl>
    <w:lvl w:ilvl="3" w:tplc="9BA480E8" w:tentative="1">
      <w:start w:val="1"/>
      <w:numFmt w:val="bullet"/>
      <w:lvlText w:val="•"/>
      <w:lvlJc w:val="left"/>
      <w:pPr>
        <w:tabs>
          <w:tab w:val="num" w:pos="2880"/>
        </w:tabs>
        <w:ind w:left="2880" w:hanging="360"/>
      </w:pPr>
      <w:rPr>
        <w:rFonts w:ascii="Arial" w:hAnsi="Arial" w:hint="default"/>
      </w:rPr>
    </w:lvl>
    <w:lvl w:ilvl="4" w:tplc="C79681A8" w:tentative="1">
      <w:start w:val="1"/>
      <w:numFmt w:val="bullet"/>
      <w:lvlText w:val="•"/>
      <w:lvlJc w:val="left"/>
      <w:pPr>
        <w:tabs>
          <w:tab w:val="num" w:pos="3600"/>
        </w:tabs>
        <w:ind w:left="3600" w:hanging="360"/>
      </w:pPr>
      <w:rPr>
        <w:rFonts w:ascii="Arial" w:hAnsi="Arial" w:hint="default"/>
      </w:rPr>
    </w:lvl>
    <w:lvl w:ilvl="5" w:tplc="7E5E72C4" w:tentative="1">
      <w:start w:val="1"/>
      <w:numFmt w:val="bullet"/>
      <w:lvlText w:val="•"/>
      <w:lvlJc w:val="left"/>
      <w:pPr>
        <w:tabs>
          <w:tab w:val="num" w:pos="4320"/>
        </w:tabs>
        <w:ind w:left="4320" w:hanging="360"/>
      </w:pPr>
      <w:rPr>
        <w:rFonts w:ascii="Arial" w:hAnsi="Arial" w:hint="default"/>
      </w:rPr>
    </w:lvl>
    <w:lvl w:ilvl="6" w:tplc="6BB2166A" w:tentative="1">
      <w:start w:val="1"/>
      <w:numFmt w:val="bullet"/>
      <w:lvlText w:val="•"/>
      <w:lvlJc w:val="left"/>
      <w:pPr>
        <w:tabs>
          <w:tab w:val="num" w:pos="5040"/>
        </w:tabs>
        <w:ind w:left="5040" w:hanging="360"/>
      </w:pPr>
      <w:rPr>
        <w:rFonts w:ascii="Arial" w:hAnsi="Arial" w:hint="default"/>
      </w:rPr>
    </w:lvl>
    <w:lvl w:ilvl="7" w:tplc="29C25F46" w:tentative="1">
      <w:start w:val="1"/>
      <w:numFmt w:val="bullet"/>
      <w:lvlText w:val="•"/>
      <w:lvlJc w:val="left"/>
      <w:pPr>
        <w:tabs>
          <w:tab w:val="num" w:pos="5760"/>
        </w:tabs>
        <w:ind w:left="5760" w:hanging="360"/>
      </w:pPr>
      <w:rPr>
        <w:rFonts w:ascii="Arial" w:hAnsi="Arial" w:hint="default"/>
      </w:rPr>
    </w:lvl>
    <w:lvl w:ilvl="8" w:tplc="763C382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C8F5D2C"/>
    <w:multiLevelType w:val="hybridMultilevel"/>
    <w:tmpl w:val="4AA86712"/>
    <w:lvl w:ilvl="0" w:tplc="784C968E">
      <w:start w:val="1"/>
      <w:numFmt w:val="bullet"/>
      <w:lvlText w:val="•"/>
      <w:lvlJc w:val="left"/>
      <w:pPr>
        <w:tabs>
          <w:tab w:val="num" w:pos="720"/>
        </w:tabs>
        <w:ind w:left="720" w:hanging="360"/>
      </w:pPr>
      <w:rPr>
        <w:rFonts w:ascii="Arial" w:hAnsi="Arial" w:hint="default"/>
      </w:rPr>
    </w:lvl>
    <w:lvl w:ilvl="1" w:tplc="3CD6608A" w:tentative="1">
      <w:start w:val="1"/>
      <w:numFmt w:val="bullet"/>
      <w:lvlText w:val="•"/>
      <w:lvlJc w:val="left"/>
      <w:pPr>
        <w:tabs>
          <w:tab w:val="num" w:pos="1440"/>
        </w:tabs>
        <w:ind w:left="1440" w:hanging="360"/>
      </w:pPr>
      <w:rPr>
        <w:rFonts w:ascii="Arial" w:hAnsi="Arial" w:hint="default"/>
      </w:rPr>
    </w:lvl>
    <w:lvl w:ilvl="2" w:tplc="E5CC6D30" w:tentative="1">
      <w:start w:val="1"/>
      <w:numFmt w:val="bullet"/>
      <w:lvlText w:val="•"/>
      <w:lvlJc w:val="left"/>
      <w:pPr>
        <w:tabs>
          <w:tab w:val="num" w:pos="2160"/>
        </w:tabs>
        <w:ind w:left="2160" w:hanging="360"/>
      </w:pPr>
      <w:rPr>
        <w:rFonts w:ascii="Arial" w:hAnsi="Arial" w:hint="default"/>
      </w:rPr>
    </w:lvl>
    <w:lvl w:ilvl="3" w:tplc="27206D86" w:tentative="1">
      <w:start w:val="1"/>
      <w:numFmt w:val="bullet"/>
      <w:lvlText w:val="•"/>
      <w:lvlJc w:val="left"/>
      <w:pPr>
        <w:tabs>
          <w:tab w:val="num" w:pos="2880"/>
        </w:tabs>
        <w:ind w:left="2880" w:hanging="360"/>
      </w:pPr>
      <w:rPr>
        <w:rFonts w:ascii="Arial" w:hAnsi="Arial" w:hint="default"/>
      </w:rPr>
    </w:lvl>
    <w:lvl w:ilvl="4" w:tplc="07685948" w:tentative="1">
      <w:start w:val="1"/>
      <w:numFmt w:val="bullet"/>
      <w:lvlText w:val="•"/>
      <w:lvlJc w:val="left"/>
      <w:pPr>
        <w:tabs>
          <w:tab w:val="num" w:pos="3600"/>
        </w:tabs>
        <w:ind w:left="3600" w:hanging="360"/>
      </w:pPr>
      <w:rPr>
        <w:rFonts w:ascii="Arial" w:hAnsi="Arial" w:hint="default"/>
      </w:rPr>
    </w:lvl>
    <w:lvl w:ilvl="5" w:tplc="9058F1C2" w:tentative="1">
      <w:start w:val="1"/>
      <w:numFmt w:val="bullet"/>
      <w:lvlText w:val="•"/>
      <w:lvlJc w:val="left"/>
      <w:pPr>
        <w:tabs>
          <w:tab w:val="num" w:pos="4320"/>
        </w:tabs>
        <w:ind w:left="4320" w:hanging="360"/>
      </w:pPr>
      <w:rPr>
        <w:rFonts w:ascii="Arial" w:hAnsi="Arial" w:hint="default"/>
      </w:rPr>
    </w:lvl>
    <w:lvl w:ilvl="6" w:tplc="277ABFC4" w:tentative="1">
      <w:start w:val="1"/>
      <w:numFmt w:val="bullet"/>
      <w:lvlText w:val="•"/>
      <w:lvlJc w:val="left"/>
      <w:pPr>
        <w:tabs>
          <w:tab w:val="num" w:pos="5040"/>
        </w:tabs>
        <w:ind w:left="5040" w:hanging="360"/>
      </w:pPr>
      <w:rPr>
        <w:rFonts w:ascii="Arial" w:hAnsi="Arial" w:hint="default"/>
      </w:rPr>
    </w:lvl>
    <w:lvl w:ilvl="7" w:tplc="31F617A4" w:tentative="1">
      <w:start w:val="1"/>
      <w:numFmt w:val="bullet"/>
      <w:lvlText w:val="•"/>
      <w:lvlJc w:val="left"/>
      <w:pPr>
        <w:tabs>
          <w:tab w:val="num" w:pos="5760"/>
        </w:tabs>
        <w:ind w:left="5760" w:hanging="360"/>
      </w:pPr>
      <w:rPr>
        <w:rFonts w:ascii="Arial" w:hAnsi="Arial" w:hint="default"/>
      </w:rPr>
    </w:lvl>
    <w:lvl w:ilvl="8" w:tplc="69D2FFC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DB30EEF"/>
    <w:multiLevelType w:val="hybridMultilevel"/>
    <w:tmpl w:val="286C36CE"/>
    <w:lvl w:ilvl="0" w:tplc="C71E5822">
      <w:start w:val="1"/>
      <w:numFmt w:val="bullet"/>
      <w:lvlText w:val="•"/>
      <w:lvlJc w:val="left"/>
      <w:pPr>
        <w:tabs>
          <w:tab w:val="num" w:pos="720"/>
        </w:tabs>
        <w:ind w:left="720" w:hanging="360"/>
      </w:pPr>
      <w:rPr>
        <w:rFonts w:ascii="Arial" w:hAnsi="Arial" w:hint="default"/>
      </w:rPr>
    </w:lvl>
    <w:lvl w:ilvl="1" w:tplc="A70E6C3A" w:tentative="1">
      <w:start w:val="1"/>
      <w:numFmt w:val="bullet"/>
      <w:lvlText w:val="•"/>
      <w:lvlJc w:val="left"/>
      <w:pPr>
        <w:tabs>
          <w:tab w:val="num" w:pos="1440"/>
        </w:tabs>
        <w:ind w:left="1440" w:hanging="360"/>
      </w:pPr>
      <w:rPr>
        <w:rFonts w:ascii="Arial" w:hAnsi="Arial" w:hint="default"/>
      </w:rPr>
    </w:lvl>
    <w:lvl w:ilvl="2" w:tplc="5BF8A750" w:tentative="1">
      <w:start w:val="1"/>
      <w:numFmt w:val="bullet"/>
      <w:lvlText w:val="•"/>
      <w:lvlJc w:val="left"/>
      <w:pPr>
        <w:tabs>
          <w:tab w:val="num" w:pos="2160"/>
        </w:tabs>
        <w:ind w:left="2160" w:hanging="360"/>
      </w:pPr>
      <w:rPr>
        <w:rFonts w:ascii="Arial" w:hAnsi="Arial" w:hint="default"/>
      </w:rPr>
    </w:lvl>
    <w:lvl w:ilvl="3" w:tplc="16E4AC96" w:tentative="1">
      <w:start w:val="1"/>
      <w:numFmt w:val="bullet"/>
      <w:lvlText w:val="•"/>
      <w:lvlJc w:val="left"/>
      <w:pPr>
        <w:tabs>
          <w:tab w:val="num" w:pos="2880"/>
        </w:tabs>
        <w:ind w:left="2880" w:hanging="360"/>
      </w:pPr>
      <w:rPr>
        <w:rFonts w:ascii="Arial" w:hAnsi="Arial" w:hint="default"/>
      </w:rPr>
    </w:lvl>
    <w:lvl w:ilvl="4" w:tplc="A2A62ED4" w:tentative="1">
      <w:start w:val="1"/>
      <w:numFmt w:val="bullet"/>
      <w:lvlText w:val="•"/>
      <w:lvlJc w:val="left"/>
      <w:pPr>
        <w:tabs>
          <w:tab w:val="num" w:pos="3600"/>
        </w:tabs>
        <w:ind w:left="3600" w:hanging="360"/>
      </w:pPr>
      <w:rPr>
        <w:rFonts w:ascii="Arial" w:hAnsi="Arial" w:hint="default"/>
      </w:rPr>
    </w:lvl>
    <w:lvl w:ilvl="5" w:tplc="DCB8FC3C" w:tentative="1">
      <w:start w:val="1"/>
      <w:numFmt w:val="bullet"/>
      <w:lvlText w:val="•"/>
      <w:lvlJc w:val="left"/>
      <w:pPr>
        <w:tabs>
          <w:tab w:val="num" w:pos="4320"/>
        </w:tabs>
        <w:ind w:left="4320" w:hanging="360"/>
      </w:pPr>
      <w:rPr>
        <w:rFonts w:ascii="Arial" w:hAnsi="Arial" w:hint="default"/>
      </w:rPr>
    </w:lvl>
    <w:lvl w:ilvl="6" w:tplc="4E2660E0" w:tentative="1">
      <w:start w:val="1"/>
      <w:numFmt w:val="bullet"/>
      <w:lvlText w:val="•"/>
      <w:lvlJc w:val="left"/>
      <w:pPr>
        <w:tabs>
          <w:tab w:val="num" w:pos="5040"/>
        </w:tabs>
        <w:ind w:left="5040" w:hanging="360"/>
      </w:pPr>
      <w:rPr>
        <w:rFonts w:ascii="Arial" w:hAnsi="Arial" w:hint="default"/>
      </w:rPr>
    </w:lvl>
    <w:lvl w:ilvl="7" w:tplc="FFFADB4C" w:tentative="1">
      <w:start w:val="1"/>
      <w:numFmt w:val="bullet"/>
      <w:lvlText w:val="•"/>
      <w:lvlJc w:val="left"/>
      <w:pPr>
        <w:tabs>
          <w:tab w:val="num" w:pos="5760"/>
        </w:tabs>
        <w:ind w:left="5760" w:hanging="360"/>
      </w:pPr>
      <w:rPr>
        <w:rFonts w:ascii="Arial" w:hAnsi="Arial" w:hint="default"/>
      </w:rPr>
    </w:lvl>
    <w:lvl w:ilvl="8" w:tplc="B112988A"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26C26DE"/>
    <w:multiLevelType w:val="hybridMultilevel"/>
    <w:tmpl w:val="7C16B750"/>
    <w:lvl w:ilvl="0" w:tplc="FA94AC32">
      <w:start w:val="1"/>
      <w:numFmt w:val="bullet"/>
      <w:lvlText w:val="•"/>
      <w:lvlJc w:val="left"/>
      <w:pPr>
        <w:tabs>
          <w:tab w:val="num" w:pos="720"/>
        </w:tabs>
        <w:ind w:left="720" w:hanging="360"/>
      </w:pPr>
      <w:rPr>
        <w:rFonts w:ascii="Arial" w:hAnsi="Arial" w:hint="default"/>
      </w:rPr>
    </w:lvl>
    <w:lvl w:ilvl="1" w:tplc="AC364848" w:tentative="1">
      <w:start w:val="1"/>
      <w:numFmt w:val="bullet"/>
      <w:lvlText w:val="•"/>
      <w:lvlJc w:val="left"/>
      <w:pPr>
        <w:tabs>
          <w:tab w:val="num" w:pos="1440"/>
        </w:tabs>
        <w:ind w:left="1440" w:hanging="360"/>
      </w:pPr>
      <w:rPr>
        <w:rFonts w:ascii="Arial" w:hAnsi="Arial" w:hint="default"/>
      </w:rPr>
    </w:lvl>
    <w:lvl w:ilvl="2" w:tplc="7CA4461A" w:tentative="1">
      <w:start w:val="1"/>
      <w:numFmt w:val="bullet"/>
      <w:lvlText w:val="•"/>
      <w:lvlJc w:val="left"/>
      <w:pPr>
        <w:tabs>
          <w:tab w:val="num" w:pos="2160"/>
        </w:tabs>
        <w:ind w:left="2160" w:hanging="360"/>
      </w:pPr>
      <w:rPr>
        <w:rFonts w:ascii="Arial" w:hAnsi="Arial" w:hint="default"/>
      </w:rPr>
    </w:lvl>
    <w:lvl w:ilvl="3" w:tplc="B838C800" w:tentative="1">
      <w:start w:val="1"/>
      <w:numFmt w:val="bullet"/>
      <w:lvlText w:val="•"/>
      <w:lvlJc w:val="left"/>
      <w:pPr>
        <w:tabs>
          <w:tab w:val="num" w:pos="2880"/>
        </w:tabs>
        <w:ind w:left="2880" w:hanging="360"/>
      </w:pPr>
      <w:rPr>
        <w:rFonts w:ascii="Arial" w:hAnsi="Arial" w:hint="default"/>
      </w:rPr>
    </w:lvl>
    <w:lvl w:ilvl="4" w:tplc="45121068" w:tentative="1">
      <w:start w:val="1"/>
      <w:numFmt w:val="bullet"/>
      <w:lvlText w:val="•"/>
      <w:lvlJc w:val="left"/>
      <w:pPr>
        <w:tabs>
          <w:tab w:val="num" w:pos="3600"/>
        </w:tabs>
        <w:ind w:left="3600" w:hanging="360"/>
      </w:pPr>
      <w:rPr>
        <w:rFonts w:ascii="Arial" w:hAnsi="Arial" w:hint="default"/>
      </w:rPr>
    </w:lvl>
    <w:lvl w:ilvl="5" w:tplc="E73EDE18" w:tentative="1">
      <w:start w:val="1"/>
      <w:numFmt w:val="bullet"/>
      <w:lvlText w:val="•"/>
      <w:lvlJc w:val="left"/>
      <w:pPr>
        <w:tabs>
          <w:tab w:val="num" w:pos="4320"/>
        </w:tabs>
        <w:ind w:left="4320" w:hanging="360"/>
      </w:pPr>
      <w:rPr>
        <w:rFonts w:ascii="Arial" w:hAnsi="Arial" w:hint="default"/>
      </w:rPr>
    </w:lvl>
    <w:lvl w:ilvl="6" w:tplc="DB62B988" w:tentative="1">
      <w:start w:val="1"/>
      <w:numFmt w:val="bullet"/>
      <w:lvlText w:val="•"/>
      <w:lvlJc w:val="left"/>
      <w:pPr>
        <w:tabs>
          <w:tab w:val="num" w:pos="5040"/>
        </w:tabs>
        <w:ind w:left="5040" w:hanging="360"/>
      </w:pPr>
      <w:rPr>
        <w:rFonts w:ascii="Arial" w:hAnsi="Arial" w:hint="default"/>
      </w:rPr>
    </w:lvl>
    <w:lvl w:ilvl="7" w:tplc="286E88D0" w:tentative="1">
      <w:start w:val="1"/>
      <w:numFmt w:val="bullet"/>
      <w:lvlText w:val="•"/>
      <w:lvlJc w:val="left"/>
      <w:pPr>
        <w:tabs>
          <w:tab w:val="num" w:pos="5760"/>
        </w:tabs>
        <w:ind w:left="5760" w:hanging="360"/>
      </w:pPr>
      <w:rPr>
        <w:rFonts w:ascii="Arial" w:hAnsi="Arial" w:hint="default"/>
      </w:rPr>
    </w:lvl>
    <w:lvl w:ilvl="8" w:tplc="0588AA5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429514A"/>
    <w:multiLevelType w:val="hybridMultilevel"/>
    <w:tmpl w:val="F8C2B776"/>
    <w:lvl w:ilvl="0" w:tplc="04090005">
      <w:start w:val="1"/>
      <w:numFmt w:val="bullet"/>
      <w:lvlText w:val=""/>
      <w:lvlJc w:val="left"/>
      <w:pPr>
        <w:ind w:left="547" w:hanging="360"/>
      </w:pPr>
      <w:rPr>
        <w:rFonts w:ascii="Wingdings" w:hAnsi="Wingdings" w:hint="default"/>
      </w:rPr>
    </w:lvl>
    <w:lvl w:ilvl="1" w:tplc="04090003">
      <w:start w:val="1"/>
      <w:numFmt w:val="bullet"/>
      <w:lvlText w:val="o"/>
      <w:lvlJc w:val="left"/>
      <w:pPr>
        <w:ind w:left="1267" w:hanging="360"/>
      </w:pPr>
      <w:rPr>
        <w:rFonts w:ascii="Courier New" w:hAnsi="Courier New" w:cs="Courier New" w:hint="default"/>
      </w:rPr>
    </w:lvl>
    <w:lvl w:ilvl="2" w:tplc="04090005">
      <w:start w:val="1"/>
      <w:numFmt w:val="bullet"/>
      <w:lvlText w:val=""/>
      <w:lvlJc w:val="left"/>
      <w:pPr>
        <w:ind w:left="1987" w:hanging="360"/>
      </w:pPr>
      <w:rPr>
        <w:rFonts w:ascii="Wingdings" w:hAnsi="Wingdings" w:hint="default"/>
      </w:rPr>
    </w:lvl>
    <w:lvl w:ilvl="3" w:tplc="04090001" w:tentative="1">
      <w:start w:val="1"/>
      <w:numFmt w:val="bullet"/>
      <w:lvlText w:val=""/>
      <w:lvlJc w:val="left"/>
      <w:pPr>
        <w:ind w:left="2707" w:hanging="360"/>
      </w:pPr>
      <w:rPr>
        <w:rFonts w:ascii="Symbol" w:hAnsi="Symbol" w:hint="default"/>
      </w:rPr>
    </w:lvl>
    <w:lvl w:ilvl="4" w:tplc="04090003" w:tentative="1">
      <w:start w:val="1"/>
      <w:numFmt w:val="bullet"/>
      <w:lvlText w:val="o"/>
      <w:lvlJc w:val="left"/>
      <w:pPr>
        <w:ind w:left="3427" w:hanging="360"/>
      </w:pPr>
      <w:rPr>
        <w:rFonts w:ascii="Courier New" w:hAnsi="Courier New" w:cs="Courier New" w:hint="default"/>
      </w:rPr>
    </w:lvl>
    <w:lvl w:ilvl="5" w:tplc="04090005" w:tentative="1">
      <w:start w:val="1"/>
      <w:numFmt w:val="bullet"/>
      <w:lvlText w:val=""/>
      <w:lvlJc w:val="left"/>
      <w:pPr>
        <w:ind w:left="4147" w:hanging="360"/>
      </w:pPr>
      <w:rPr>
        <w:rFonts w:ascii="Wingdings" w:hAnsi="Wingdings" w:hint="default"/>
      </w:rPr>
    </w:lvl>
    <w:lvl w:ilvl="6" w:tplc="04090001" w:tentative="1">
      <w:start w:val="1"/>
      <w:numFmt w:val="bullet"/>
      <w:lvlText w:val=""/>
      <w:lvlJc w:val="left"/>
      <w:pPr>
        <w:ind w:left="4867" w:hanging="360"/>
      </w:pPr>
      <w:rPr>
        <w:rFonts w:ascii="Symbol" w:hAnsi="Symbol" w:hint="default"/>
      </w:rPr>
    </w:lvl>
    <w:lvl w:ilvl="7" w:tplc="04090003" w:tentative="1">
      <w:start w:val="1"/>
      <w:numFmt w:val="bullet"/>
      <w:lvlText w:val="o"/>
      <w:lvlJc w:val="left"/>
      <w:pPr>
        <w:ind w:left="5587" w:hanging="360"/>
      </w:pPr>
      <w:rPr>
        <w:rFonts w:ascii="Courier New" w:hAnsi="Courier New" w:cs="Courier New" w:hint="default"/>
      </w:rPr>
    </w:lvl>
    <w:lvl w:ilvl="8" w:tplc="04090005" w:tentative="1">
      <w:start w:val="1"/>
      <w:numFmt w:val="bullet"/>
      <w:lvlText w:val=""/>
      <w:lvlJc w:val="left"/>
      <w:pPr>
        <w:ind w:left="6307" w:hanging="360"/>
      </w:pPr>
      <w:rPr>
        <w:rFonts w:ascii="Wingdings" w:hAnsi="Wingdings" w:hint="default"/>
      </w:rPr>
    </w:lvl>
  </w:abstractNum>
  <w:abstractNum w:abstractNumId="22" w15:restartNumberingAfterBreak="0">
    <w:nsid w:val="6968193D"/>
    <w:multiLevelType w:val="hybridMultilevel"/>
    <w:tmpl w:val="FBDCE9D6"/>
    <w:lvl w:ilvl="0" w:tplc="7818A19C">
      <w:start w:val="1"/>
      <w:numFmt w:val="decimal"/>
      <w:lvlText w:val="%1."/>
      <w:lvlJc w:val="left"/>
      <w:pPr>
        <w:tabs>
          <w:tab w:val="num" w:pos="720"/>
        </w:tabs>
        <w:ind w:left="720" w:hanging="360"/>
      </w:pPr>
    </w:lvl>
    <w:lvl w:ilvl="1" w:tplc="45A64442" w:tentative="1">
      <w:start w:val="1"/>
      <w:numFmt w:val="decimal"/>
      <w:lvlText w:val="%2."/>
      <w:lvlJc w:val="left"/>
      <w:pPr>
        <w:tabs>
          <w:tab w:val="num" w:pos="1440"/>
        </w:tabs>
        <w:ind w:left="1440" w:hanging="360"/>
      </w:pPr>
    </w:lvl>
    <w:lvl w:ilvl="2" w:tplc="0E1CBD4E" w:tentative="1">
      <w:start w:val="1"/>
      <w:numFmt w:val="decimal"/>
      <w:lvlText w:val="%3."/>
      <w:lvlJc w:val="left"/>
      <w:pPr>
        <w:tabs>
          <w:tab w:val="num" w:pos="2160"/>
        </w:tabs>
        <w:ind w:left="2160" w:hanging="360"/>
      </w:pPr>
    </w:lvl>
    <w:lvl w:ilvl="3" w:tplc="F41A3402" w:tentative="1">
      <w:start w:val="1"/>
      <w:numFmt w:val="decimal"/>
      <w:lvlText w:val="%4."/>
      <w:lvlJc w:val="left"/>
      <w:pPr>
        <w:tabs>
          <w:tab w:val="num" w:pos="2880"/>
        </w:tabs>
        <w:ind w:left="2880" w:hanging="360"/>
      </w:pPr>
    </w:lvl>
    <w:lvl w:ilvl="4" w:tplc="9A182460" w:tentative="1">
      <w:start w:val="1"/>
      <w:numFmt w:val="decimal"/>
      <w:lvlText w:val="%5."/>
      <w:lvlJc w:val="left"/>
      <w:pPr>
        <w:tabs>
          <w:tab w:val="num" w:pos="3600"/>
        </w:tabs>
        <w:ind w:left="3600" w:hanging="360"/>
      </w:pPr>
    </w:lvl>
    <w:lvl w:ilvl="5" w:tplc="B7DE5FF6" w:tentative="1">
      <w:start w:val="1"/>
      <w:numFmt w:val="decimal"/>
      <w:lvlText w:val="%6."/>
      <w:lvlJc w:val="left"/>
      <w:pPr>
        <w:tabs>
          <w:tab w:val="num" w:pos="4320"/>
        </w:tabs>
        <w:ind w:left="4320" w:hanging="360"/>
      </w:pPr>
    </w:lvl>
    <w:lvl w:ilvl="6" w:tplc="CB180C38" w:tentative="1">
      <w:start w:val="1"/>
      <w:numFmt w:val="decimal"/>
      <w:lvlText w:val="%7."/>
      <w:lvlJc w:val="left"/>
      <w:pPr>
        <w:tabs>
          <w:tab w:val="num" w:pos="5040"/>
        </w:tabs>
        <w:ind w:left="5040" w:hanging="360"/>
      </w:pPr>
    </w:lvl>
    <w:lvl w:ilvl="7" w:tplc="2D4C0F88" w:tentative="1">
      <w:start w:val="1"/>
      <w:numFmt w:val="decimal"/>
      <w:lvlText w:val="%8."/>
      <w:lvlJc w:val="left"/>
      <w:pPr>
        <w:tabs>
          <w:tab w:val="num" w:pos="5760"/>
        </w:tabs>
        <w:ind w:left="5760" w:hanging="360"/>
      </w:pPr>
    </w:lvl>
    <w:lvl w:ilvl="8" w:tplc="4426D502" w:tentative="1">
      <w:start w:val="1"/>
      <w:numFmt w:val="decimal"/>
      <w:lvlText w:val="%9."/>
      <w:lvlJc w:val="left"/>
      <w:pPr>
        <w:tabs>
          <w:tab w:val="num" w:pos="6480"/>
        </w:tabs>
        <w:ind w:left="6480" w:hanging="360"/>
      </w:pPr>
    </w:lvl>
  </w:abstractNum>
  <w:abstractNum w:abstractNumId="23" w15:restartNumberingAfterBreak="0">
    <w:nsid w:val="6BA15BA6"/>
    <w:multiLevelType w:val="hybridMultilevel"/>
    <w:tmpl w:val="57B89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60D2457"/>
    <w:multiLevelType w:val="hybridMultilevel"/>
    <w:tmpl w:val="8B5AA5FA"/>
    <w:lvl w:ilvl="0" w:tplc="D7FC6D46">
      <w:start w:val="1"/>
      <w:numFmt w:val="bullet"/>
      <w:lvlText w:val="•"/>
      <w:lvlJc w:val="left"/>
      <w:pPr>
        <w:tabs>
          <w:tab w:val="num" w:pos="720"/>
        </w:tabs>
        <w:ind w:left="720" w:hanging="360"/>
      </w:pPr>
      <w:rPr>
        <w:rFonts w:ascii="Arial" w:hAnsi="Arial" w:hint="default"/>
      </w:rPr>
    </w:lvl>
    <w:lvl w:ilvl="1" w:tplc="AE1ACC72" w:tentative="1">
      <w:start w:val="1"/>
      <w:numFmt w:val="bullet"/>
      <w:lvlText w:val="•"/>
      <w:lvlJc w:val="left"/>
      <w:pPr>
        <w:tabs>
          <w:tab w:val="num" w:pos="1440"/>
        </w:tabs>
        <w:ind w:left="1440" w:hanging="360"/>
      </w:pPr>
      <w:rPr>
        <w:rFonts w:ascii="Arial" w:hAnsi="Arial" w:hint="default"/>
      </w:rPr>
    </w:lvl>
    <w:lvl w:ilvl="2" w:tplc="ABFEB714" w:tentative="1">
      <w:start w:val="1"/>
      <w:numFmt w:val="bullet"/>
      <w:lvlText w:val="•"/>
      <w:lvlJc w:val="left"/>
      <w:pPr>
        <w:tabs>
          <w:tab w:val="num" w:pos="2160"/>
        </w:tabs>
        <w:ind w:left="2160" w:hanging="360"/>
      </w:pPr>
      <w:rPr>
        <w:rFonts w:ascii="Arial" w:hAnsi="Arial" w:hint="default"/>
      </w:rPr>
    </w:lvl>
    <w:lvl w:ilvl="3" w:tplc="0A942C30" w:tentative="1">
      <w:start w:val="1"/>
      <w:numFmt w:val="bullet"/>
      <w:lvlText w:val="•"/>
      <w:lvlJc w:val="left"/>
      <w:pPr>
        <w:tabs>
          <w:tab w:val="num" w:pos="2880"/>
        </w:tabs>
        <w:ind w:left="2880" w:hanging="360"/>
      </w:pPr>
      <w:rPr>
        <w:rFonts w:ascii="Arial" w:hAnsi="Arial" w:hint="default"/>
      </w:rPr>
    </w:lvl>
    <w:lvl w:ilvl="4" w:tplc="719043FC" w:tentative="1">
      <w:start w:val="1"/>
      <w:numFmt w:val="bullet"/>
      <w:lvlText w:val="•"/>
      <w:lvlJc w:val="left"/>
      <w:pPr>
        <w:tabs>
          <w:tab w:val="num" w:pos="3600"/>
        </w:tabs>
        <w:ind w:left="3600" w:hanging="360"/>
      </w:pPr>
      <w:rPr>
        <w:rFonts w:ascii="Arial" w:hAnsi="Arial" w:hint="default"/>
      </w:rPr>
    </w:lvl>
    <w:lvl w:ilvl="5" w:tplc="B1384052" w:tentative="1">
      <w:start w:val="1"/>
      <w:numFmt w:val="bullet"/>
      <w:lvlText w:val="•"/>
      <w:lvlJc w:val="left"/>
      <w:pPr>
        <w:tabs>
          <w:tab w:val="num" w:pos="4320"/>
        </w:tabs>
        <w:ind w:left="4320" w:hanging="360"/>
      </w:pPr>
      <w:rPr>
        <w:rFonts w:ascii="Arial" w:hAnsi="Arial" w:hint="default"/>
      </w:rPr>
    </w:lvl>
    <w:lvl w:ilvl="6" w:tplc="ECCCE850" w:tentative="1">
      <w:start w:val="1"/>
      <w:numFmt w:val="bullet"/>
      <w:lvlText w:val="•"/>
      <w:lvlJc w:val="left"/>
      <w:pPr>
        <w:tabs>
          <w:tab w:val="num" w:pos="5040"/>
        </w:tabs>
        <w:ind w:left="5040" w:hanging="360"/>
      </w:pPr>
      <w:rPr>
        <w:rFonts w:ascii="Arial" w:hAnsi="Arial" w:hint="default"/>
      </w:rPr>
    </w:lvl>
    <w:lvl w:ilvl="7" w:tplc="CEC6FF4A" w:tentative="1">
      <w:start w:val="1"/>
      <w:numFmt w:val="bullet"/>
      <w:lvlText w:val="•"/>
      <w:lvlJc w:val="left"/>
      <w:pPr>
        <w:tabs>
          <w:tab w:val="num" w:pos="5760"/>
        </w:tabs>
        <w:ind w:left="5760" w:hanging="360"/>
      </w:pPr>
      <w:rPr>
        <w:rFonts w:ascii="Arial" w:hAnsi="Arial" w:hint="default"/>
      </w:rPr>
    </w:lvl>
    <w:lvl w:ilvl="8" w:tplc="8260FA96"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764877F8"/>
    <w:multiLevelType w:val="hybridMultilevel"/>
    <w:tmpl w:val="4BBCD30A"/>
    <w:lvl w:ilvl="0" w:tplc="E78EC9C8">
      <w:start w:val="1"/>
      <w:numFmt w:val="bullet"/>
      <w:lvlText w:val="•"/>
      <w:lvlJc w:val="left"/>
      <w:pPr>
        <w:tabs>
          <w:tab w:val="num" w:pos="720"/>
        </w:tabs>
        <w:ind w:left="720" w:hanging="360"/>
      </w:pPr>
      <w:rPr>
        <w:rFonts w:ascii="Arial" w:hAnsi="Arial" w:hint="default"/>
      </w:rPr>
    </w:lvl>
    <w:lvl w:ilvl="1" w:tplc="ADF4D504" w:tentative="1">
      <w:start w:val="1"/>
      <w:numFmt w:val="bullet"/>
      <w:lvlText w:val="•"/>
      <w:lvlJc w:val="left"/>
      <w:pPr>
        <w:tabs>
          <w:tab w:val="num" w:pos="1440"/>
        </w:tabs>
        <w:ind w:left="1440" w:hanging="360"/>
      </w:pPr>
      <w:rPr>
        <w:rFonts w:ascii="Arial" w:hAnsi="Arial" w:hint="default"/>
      </w:rPr>
    </w:lvl>
    <w:lvl w:ilvl="2" w:tplc="869A30D2" w:tentative="1">
      <w:start w:val="1"/>
      <w:numFmt w:val="bullet"/>
      <w:lvlText w:val="•"/>
      <w:lvlJc w:val="left"/>
      <w:pPr>
        <w:tabs>
          <w:tab w:val="num" w:pos="2160"/>
        </w:tabs>
        <w:ind w:left="2160" w:hanging="360"/>
      </w:pPr>
      <w:rPr>
        <w:rFonts w:ascii="Arial" w:hAnsi="Arial" w:hint="default"/>
      </w:rPr>
    </w:lvl>
    <w:lvl w:ilvl="3" w:tplc="690E9A90" w:tentative="1">
      <w:start w:val="1"/>
      <w:numFmt w:val="bullet"/>
      <w:lvlText w:val="•"/>
      <w:lvlJc w:val="left"/>
      <w:pPr>
        <w:tabs>
          <w:tab w:val="num" w:pos="2880"/>
        </w:tabs>
        <w:ind w:left="2880" w:hanging="360"/>
      </w:pPr>
      <w:rPr>
        <w:rFonts w:ascii="Arial" w:hAnsi="Arial" w:hint="default"/>
      </w:rPr>
    </w:lvl>
    <w:lvl w:ilvl="4" w:tplc="02688B94" w:tentative="1">
      <w:start w:val="1"/>
      <w:numFmt w:val="bullet"/>
      <w:lvlText w:val="•"/>
      <w:lvlJc w:val="left"/>
      <w:pPr>
        <w:tabs>
          <w:tab w:val="num" w:pos="3600"/>
        </w:tabs>
        <w:ind w:left="3600" w:hanging="360"/>
      </w:pPr>
      <w:rPr>
        <w:rFonts w:ascii="Arial" w:hAnsi="Arial" w:hint="default"/>
      </w:rPr>
    </w:lvl>
    <w:lvl w:ilvl="5" w:tplc="5936CED4" w:tentative="1">
      <w:start w:val="1"/>
      <w:numFmt w:val="bullet"/>
      <w:lvlText w:val="•"/>
      <w:lvlJc w:val="left"/>
      <w:pPr>
        <w:tabs>
          <w:tab w:val="num" w:pos="4320"/>
        </w:tabs>
        <w:ind w:left="4320" w:hanging="360"/>
      </w:pPr>
      <w:rPr>
        <w:rFonts w:ascii="Arial" w:hAnsi="Arial" w:hint="default"/>
      </w:rPr>
    </w:lvl>
    <w:lvl w:ilvl="6" w:tplc="33F2479A" w:tentative="1">
      <w:start w:val="1"/>
      <w:numFmt w:val="bullet"/>
      <w:lvlText w:val="•"/>
      <w:lvlJc w:val="left"/>
      <w:pPr>
        <w:tabs>
          <w:tab w:val="num" w:pos="5040"/>
        </w:tabs>
        <w:ind w:left="5040" w:hanging="360"/>
      </w:pPr>
      <w:rPr>
        <w:rFonts w:ascii="Arial" w:hAnsi="Arial" w:hint="default"/>
      </w:rPr>
    </w:lvl>
    <w:lvl w:ilvl="7" w:tplc="2CC4DB10" w:tentative="1">
      <w:start w:val="1"/>
      <w:numFmt w:val="bullet"/>
      <w:lvlText w:val="•"/>
      <w:lvlJc w:val="left"/>
      <w:pPr>
        <w:tabs>
          <w:tab w:val="num" w:pos="5760"/>
        </w:tabs>
        <w:ind w:left="5760" w:hanging="360"/>
      </w:pPr>
      <w:rPr>
        <w:rFonts w:ascii="Arial" w:hAnsi="Arial" w:hint="default"/>
      </w:rPr>
    </w:lvl>
    <w:lvl w:ilvl="8" w:tplc="ADD8E424"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76375E1"/>
    <w:multiLevelType w:val="hybridMultilevel"/>
    <w:tmpl w:val="2A44DE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93F4ABC"/>
    <w:multiLevelType w:val="hybridMultilevel"/>
    <w:tmpl w:val="BEC41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A141F28"/>
    <w:multiLevelType w:val="hybridMultilevel"/>
    <w:tmpl w:val="E2128802"/>
    <w:lvl w:ilvl="0" w:tplc="4EA694D2">
      <w:start w:val="1"/>
      <w:numFmt w:val="bullet"/>
      <w:lvlText w:val="•"/>
      <w:lvlJc w:val="left"/>
      <w:pPr>
        <w:tabs>
          <w:tab w:val="num" w:pos="720"/>
        </w:tabs>
        <w:ind w:left="720" w:hanging="360"/>
      </w:pPr>
      <w:rPr>
        <w:rFonts w:ascii="Arial" w:hAnsi="Arial" w:hint="default"/>
      </w:rPr>
    </w:lvl>
    <w:lvl w:ilvl="1" w:tplc="CB7E2FD6" w:tentative="1">
      <w:start w:val="1"/>
      <w:numFmt w:val="bullet"/>
      <w:lvlText w:val="•"/>
      <w:lvlJc w:val="left"/>
      <w:pPr>
        <w:tabs>
          <w:tab w:val="num" w:pos="1440"/>
        </w:tabs>
        <w:ind w:left="1440" w:hanging="360"/>
      </w:pPr>
      <w:rPr>
        <w:rFonts w:ascii="Arial" w:hAnsi="Arial" w:hint="default"/>
      </w:rPr>
    </w:lvl>
    <w:lvl w:ilvl="2" w:tplc="9EBC1918" w:tentative="1">
      <w:start w:val="1"/>
      <w:numFmt w:val="bullet"/>
      <w:lvlText w:val="•"/>
      <w:lvlJc w:val="left"/>
      <w:pPr>
        <w:tabs>
          <w:tab w:val="num" w:pos="2160"/>
        </w:tabs>
        <w:ind w:left="2160" w:hanging="360"/>
      </w:pPr>
      <w:rPr>
        <w:rFonts w:ascii="Arial" w:hAnsi="Arial" w:hint="default"/>
      </w:rPr>
    </w:lvl>
    <w:lvl w:ilvl="3" w:tplc="28BAE156" w:tentative="1">
      <w:start w:val="1"/>
      <w:numFmt w:val="bullet"/>
      <w:lvlText w:val="•"/>
      <w:lvlJc w:val="left"/>
      <w:pPr>
        <w:tabs>
          <w:tab w:val="num" w:pos="2880"/>
        </w:tabs>
        <w:ind w:left="2880" w:hanging="360"/>
      </w:pPr>
      <w:rPr>
        <w:rFonts w:ascii="Arial" w:hAnsi="Arial" w:hint="default"/>
      </w:rPr>
    </w:lvl>
    <w:lvl w:ilvl="4" w:tplc="4E2C465C" w:tentative="1">
      <w:start w:val="1"/>
      <w:numFmt w:val="bullet"/>
      <w:lvlText w:val="•"/>
      <w:lvlJc w:val="left"/>
      <w:pPr>
        <w:tabs>
          <w:tab w:val="num" w:pos="3600"/>
        </w:tabs>
        <w:ind w:left="3600" w:hanging="360"/>
      </w:pPr>
      <w:rPr>
        <w:rFonts w:ascii="Arial" w:hAnsi="Arial" w:hint="default"/>
      </w:rPr>
    </w:lvl>
    <w:lvl w:ilvl="5" w:tplc="BC3A7848" w:tentative="1">
      <w:start w:val="1"/>
      <w:numFmt w:val="bullet"/>
      <w:lvlText w:val="•"/>
      <w:lvlJc w:val="left"/>
      <w:pPr>
        <w:tabs>
          <w:tab w:val="num" w:pos="4320"/>
        </w:tabs>
        <w:ind w:left="4320" w:hanging="360"/>
      </w:pPr>
      <w:rPr>
        <w:rFonts w:ascii="Arial" w:hAnsi="Arial" w:hint="default"/>
      </w:rPr>
    </w:lvl>
    <w:lvl w:ilvl="6" w:tplc="E5743A24" w:tentative="1">
      <w:start w:val="1"/>
      <w:numFmt w:val="bullet"/>
      <w:lvlText w:val="•"/>
      <w:lvlJc w:val="left"/>
      <w:pPr>
        <w:tabs>
          <w:tab w:val="num" w:pos="5040"/>
        </w:tabs>
        <w:ind w:left="5040" w:hanging="360"/>
      </w:pPr>
      <w:rPr>
        <w:rFonts w:ascii="Arial" w:hAnsi="Arial" w:hint="default"/>
      </w:rPr>
    </w:lvl>
    <w:lvl w:ilvl="7" w:tplc="F154B756" w:tentative="1">
      <w:start w:val="1"/>
      <w:numFmt w:val="bullet"/>
      <w:lvlText w:val="•"/>
      <w:lvlJc w:val="left"/>
      <w:pPr>
        <w:tabs>
          <w:tab w:val="num" w:pos="5760"/>
        </w:tabs>
        <w:ind w:left="5760" w:hanging="360"/>
      </w:pPr>
      <w:rPr>
        <w:rFonts w:ascii="Arial" w:hAnsi="Arial" w:hint="default"/>
      </w:rPr>
    </w:lvl>
    <w:lvl w:ilvl="8" w:tplc="12BABAF2"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7A4F72C5"/>
    <w:multiLevelType w:val="hybridMultilevel"/>
    <w:tmpl w:val="C45EEDFC"/>
    <w:lvl w:ilvl="0" w:tplc="A7503E9E">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0" w15:restartNumberingAfterBreak="0">
    <w:nsid w:val="7A6E30DC"/>
    <w:multiLevelType w:val="hybridMultilevel"/>
    <w:tmpl w:val="4CA4C8B6"/>
    <w:lvl w:ilvl="0" w:tplc="65B09778">
      <w:start w:val="1"/>
      <w:numFmt w:val="bullet"/>
      <w:lvlText w:val="•"/>
      <w:lvlJc w:val="left"/>
      <w:pPr>
        <w:tabs>
          <w:tab w:val="num" w:pos="720"/>
        </w:tabs>
        <w:ind w:left="720" w:hanging="360"/>
      </w:pPr>
      <w:rPr>
        <w:rFonts w:ascii="Arial" w:hAnsi="Arial" w:hint="default"/>
      </w:rPr>
    </w:lvl>
    <w:lvl w:ilvl="1" w:tplc="436020C4" w:tentative="1">
      <w:start w:val="1"/>
      <w:numFmt w:val="bullet"/>
      <w:lvlText w:val="•"/>
      <w:lvlJc w:val="left"/>
      <w:pPr>
        <w:tabs>
          <w:tab w:val="num" w:pos="1440"/>
        </w:tabs>
        <w:ind w:left="1440" w:hanging="360"/>
      </w:pPr>
      <w:rPr>
        <w:rFonts w:ascii="Arial" w:hAnsi="Arial" w:hint="default"/>
      </w:rPr>
    </w:lvl>
    <w:lvl w:ilvl="2" w:tplc="70B07118" w:tentative="1">
      <w:start w:val="1"/>
      <w:numFmt w:val="bullet"/>
      <w:lvlText w:val="•"/>
      <w:lvlJc w:val="left"/>
      <w:pPr>
        <w:tabs>
          <w:tab w:val="num" w:pos="2160"/>
        </w:tabs>
        <w:ind w:left="2160" w:hanging="360"/>
      </w:pPr>
      <w:rPr>
        <w:rFonts w:ascii="Arial" w:hAnsi="Arial" w:hint="default"/>
      </w:rPr>
    </w:lvl>
    <w:lvl w:ilvl="3" w:tplc="0A26AF24" w:tentative="1">
      <w:start w:val="1"/>
      <w:numFmt w:val="bullet"/>
      <w:lvlText w:val="•"/>
      <w:lvlJc w:val="left"/>
      <w:pPr>
        <w:tabs>
          <w:tab w:val="num" w:pos="2880"/>
        </w:tabs>
        <w:ind w:left="2880" w:hanging="360"/>
      </w:pPr>
      <w:rPr>
        <w:rFonts w:ascii="Arial" w:hAnsi="Arial" w:hint="default"/>
      </w:rPr>
    </w:lvl>
    <w:lvl w:ilvl="4" w:tplc="AAAE7260" w:tentative="1">
      <w:start w:val="1"/>
      <w:numFmt w:val="bullet"/>
      <w:lvlText w:val="•"/>
      <w:lvlJc w:val="left"/>
      <w:pPr>
        <w:tabs>
          <w:tab w:val="num" w:pos="3600"/>
        </w:tabs>
        <w:ind w:left="3600" w:hanging="360"/>
      </w:pPr>
      <w:rPr>
        <w:rFonts w:ascii="Arial" w:hAnsi="Arial" w:hint="default"/>
      </w:rPr>
    </w:lvl>
    <w:lvl w:ilvl="5" w:tplc="2FB47478" w:tentative="1">
      <w:start w:val="1"/>
      <w:numFmt w:val="bullet"/>
      <w:lvlText w:val="•"/>
      <w:lvlJc w:val="left"/>
      <w:pPr>
        <w:tabs>
          <w:tab w:val="num" w:pos="4320"/>
        </w:tabs>
        <w:ind w:left="4320" w:hanging="360"/>
      </w:pPr>
      <w:rPr>
        <w:rFonts w:ascii="Arial" w:hAnsi="Arial" w:hint="default"/>
      </w:rPr>
    </w:lvl>
    <w:lvl w:ilvl="6" w:tplc="88BC359E" w:tentative="1">
      <w:start w:val="1"/>
      <w:numFmt w:val="bullet"/>
      <w:lvlText w:val="•"/>
      <w:lvlJc w:val="left"/>
      <w:pPr>
        <w:tabs>
          <w:tab w:val="num" w:pos="5040"/>
        </w:tabs>
        <w:ind w:left="5040" w:hanging="360"/>
      </w:pPr>
      <w:rPr>
        <w:rFonts w:ascii="Arial" w:hAnsi="Arial" w:hint="default"/>
      </w:rPr>
    </w:lvl>
    <w:lvl w:ilvl="7" w:tplc="4CA84DBE" w:tentative="1">
      <w:start w:val="1"/>
      <w:numFmt w:val="bullet"/>
      <w:lvlText w:val="•"/>
      <w:lvlJc w:val="left"/>
      <w:pPr>
        <w:tabs>
          <w:tab w:val="num" w:pos="5760"/>
        </w:tabs>
        <w:ind w:left="5760" w:hanging="360"/>
      </w:pPr>
      <w:rPr>
        <w:rFonts w:ascii="Arial" w:hAnsi="Arial" w:hint="default"/>
      </w:rPr>
    </w:lvl>
    <w:lvl w:ilvl="8" w:tplc="0660D2B0"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7E665914"/>
    <w:multiLevelType w:val="hybridMultilevel"/>
    <w:tmpl w:val="5B74E770"/>
    <w:lvl w:ilvl="0" w:tplc="32044EAC">
      <w:start w:val="1"/>
      <w:numFmt w:val="bullet"/>
      <w:lvlText w:val="•"/>
      <w:lvlJc w:val="left"/>
      <w:pPr>
        <w:tabs>
          <w:tab w:val="num" w:pos="720"/>
        </w:tabs>
        <w:ind w:left="720" w:hanging="360"/>
      </w:pPr>
      <w:rPr>
        <w:rFonts w:ascii="Arial" w:hAnsi="Arial" w:hint="default"/>
      </w:rPr>
    </w:lvl>
    <w:lvl w:ilvl="1" w:tplc="82463FB2" w:tentative="1">
      <w:start w:val="1"/>
      <w:numFmt w:val="bullet"/>
      <w:lvlText w:val="•"/>
      <w:lvlJc w:val="left"/>
      <w:pPr>
        <w:tabs>
          <w:tab w:val="num" w:pos="1440"/>
        </w:tabs>
        <w:ind w:left="1440" w:hanging="360"/>
      </w:pPr>
      <w:rPr>
        <w:rFonts w:ascii="Arial" w:hAnsi="Arial" w:hint="default"/>
      </w:rPr>
    </w:lvl>
    <w:lvl w:ilvl="2" w:tplc="1F124382" w:tentative="1">
      <w:start w:val="1"/>
      <w:numFmt w:val="bullet"/>
      <w:lvlText w:val="•"/>
      <w:lvlJc w:val="left"/>
      <w:pPr>
        <w:tabs>
          <w:tab w:val="num" w:pos="2160"/>
        </w:tabs>
        <w:ind w:left="2160" w:hanging="360"/>
      </w:pPr>
      <w:rPr>
        <w:rFonts w:ascii="Arial" w:hAnsi="Arial" w:hint="default"/>
      </w:rPr>
    </w:lvl>
    <w:lvl w:ilvl="3" w:tplc="496AE904" w:tentative="1">
      <w:start w:val="1"/>
      <w:numFmt w:val="bullet"/>
      <w:lvlText w:val="•"/>
      <w:lvlJc w:val="left"/>
      <w:pPr>
        <w:tabs>
          <w:tab w:val="num" w:pos="2880"/>
        </w:tabs>
        <w:ind w:left="2880" w:hanging="360"/>
      </w:pPr>
      <w:rPr>
        <w:rFonts w:ascii="Arial" w:hAnsi="Arial" w:hint="default"/>
      </w:rPr>
    </w:lvl>
    <w:lvl w:ilvl="4" w:tplc="C3260E8A" w:tentative="1">
      <w:start w:val="1"/>
      <w:numFmt w:val="bullet"/>
      <w:lvlText w:val="•"/>
      <w:lvlJc w:val="left"/>
      <w:pPr>
        <w:tabs>
          <w:tab w:val="num" w:pos="3600"/>
        </w:tabs>
        <w:ind w:left="3600" w:hanging="360"/>
      </w:pPr>
      <w:rPr>
        <w:rFonts w:ascii="Arial" w:hAnsi="Arial" w:hint="default"/>
      </w:rPr>
    </w:lvl>
    <w:lvl w:ilvl="5" w:tplc="1B8AF018" w:tentative="1">
      <w:start w:val="1"/>
      <w:numFmt w:val="bullet"/>
      <w:lvlText w:val="•"/>
      <w:lvlJc w:val="left"/>
      <w:pPr>
        <w:tabs>
          <w:tab w:val="num" w:pos="4320"/>
        </w:tabs>
        <w:ind w:left="4320" w:hanging="360"/>
      </w:pPr>
      <w:rPr>
        <w:rFonts w:ascii="Arial" w:hAnsi="Arial" w:hint="default"/>
      </w:rPr>
    </w:lvl>
    <w:lvl w:ilvl="6" w:tplc="47C02458" w:tentative="1">
      <w:start w:val="1"/>
      <w:numFmt w:val="bullet"/>
      <w:lvlText w:val="•"/>
      <w:lvlJc w:val="left"/>
      <w:pPr>
        <w:tabs>
          <w:tab w:val="num" w:pos="5040"/>
        </w:tabs>
        <w:ind w:left="5040" w:hanging="360"/>
      </w:pPr>
      <w:rPr>
        <w:rFonts w:ascii="Arial" w:hAnsi="Arial" w:hint="default"/>
      </w:rPr>
    </w:lvl>
    <w:lvl w:ilvl="7" w:tplc="B12EABDE" w:tentative="1">
      <w:start w:val="1"/>
      <w:numFmt w:val="bullet"/>
      <w:lvlText w:val="•"/>
      <w:lvlJc w:val="left"/>
      <w:pPr>
        <w:tabs>
          <w:tab w:val="num" w:pos="5760"/>
        </w:tabs>
        <w:ind w:left="5760" w:hanging="360"/>
      </w:pPr>
      <w:rPr>
        <w:rFonts w:ascii="Arial" w:hAnsi="Arial" w:hint="default"/>
      </w:rPr>
    </w:lvl>
    <w:lvl w:ilvl="8" w:tplc="E93886C8" w:tentative="1">
      <w:start w:val="1"/>
      <w:numFmt w:val="bullet"/>
      <w:lvlText w:val="•"/>
      <w:lvlJc w:val="left"/>
      <w:pPr>
        <w:tabs>
          <w:tab w:val="num" w:pos="6480"/>
        </w:tabs>
        <w:ind w:left="6480" w:hanging="360"/>
      </w:pPr>
      <w:rPr>
        <w:rFonts w:ascii="Arial" w:hAnsi="Arial" w:hint="default"/>
      </w:rPr>
    </w:lvl>
  </w:abstractNum>
  <w:num w:numId="1" w16cid:durableId="857741309">
    <w:abstractNumId w:val="29"/>
  </w:num>
  <w:num w:numId="2" w16cid:durableId="1826893632">
    <w:abstractNumId w:val="13"/>
  </w:num>
  <w:num w:numId="3" w16cid:durableId="2076660810">
    <w:abstractNumId w:val="12"/>
  </w:num>
  <w:num w:numId="4" w16cid:durableId="1036392797">
    <w:abstractNumId w:val="21"/>
  </w:num>
  <w:num w:numId="5" w16cid:durableId="224805841">
    <w:abstractNumId w:val="8"/>
  </w:num>
  <w:num w:numId="6" w16cid:durableId="724261191">
    <w:abstractNumId w:val="16"/>
  </w:num>
  <w:num w:numId="7" w16cid:durableId="1113551853">
    <w:abstractNumId w:val="5"/>
  </w:num>
  <w:num w:numId="8" w16cid:durableId="336272905">
    <w:abstractNumId w:val="22"/>
  </w:num>
  <w:num w:numId="9" w16cid:durableId="1518740171">
    <w:abstractNumId w:val="23"/>
  </w:num>
  <w:num w:numId="10" w16cid:durableId="1797412342">
    <w:abstractNumId w:val="26"/>
  </w:num>
  <w:num w:numId="11" w16cid:durableId="92480070">
    <w:abstractNumId w:val="3"/>
  </w:num>
  <w:num w:numId="12" w16cid:durableId="1693066702">
    <w:abstractNumId w:val="27"/>
  </w:num>
  <w:num w:numId="13" w16cid:durableId="569732478">
    <w:abstractNumId w:val="14"/>
  </w:num>
  <w:num w:numId="14" w16cid:durableId="8025485">
    <w:abstractNumId w:val="24"/>
  </w:num>
  <w:num w:numId="15" w16cid:durableId="820656842">
    <w:abstractNumId w:val="30"/>
  </w:num>
  <w:num w:numId="16" w16cid:durableId="794181886">
    <w:abstractNumId w:val="19"/>
  </w:num>
  <w:num w:numId="17" w16cid:durableId="1990548284">
    <w:abstractNumId w:val="4"/>
  </w:num>
  <w:num w:numId="18" w16cid:durableId="1352685315">
    <w:abstractNumId w:val="20"/>
  </w:num>
  <w:num w:numId="19" w16cid:durableId="385687216">
    <w:abstractNumId w:val="31"/>
  </w:num>
  <w:num w:numId="20" w16cid:durableId="1761415670">
    <w:abstractNumId w:val="10"/>
  </w:num>
  <w:num w:numId="21" w16cid:durableId="1685398437">
    <w:abstractNumId w:val="7"/>
  </w:num>
  <w:num w:numId="22" w16cid:durableId="1554078139">
    <w:abstractNumId w:val="18"/>
  </w:num>
  <w:num w:numId="23" w16cid:durableId="791359592">
    <w:abstractNumId w:val="28"/>
  </w:num>
  <w:num w:numId="24" w16cid:durableId="424156424">
    <w:abstractNumId w:val="11"/>
  </w:num>
  <w:num w:numId="25" w16cid:durableId="1972251721">
    <w:abstractNumId w:val="25"/>
  </w:num>
  <w:num w:numId="26" w16cid:durableId="849216193">
    <w:abstractNumId w:val="17"/>
  </w:num>
  <w:num w:numId="27" w16cid:durableId="1024862264">
    <w:abstractNumId w:val="1"/>
  </w:num>
  <w:num w:numId="28" w16cid:durableId="869535305">
    <w:abstractNumId w:val="15"/>
  </w:num>
  <w:num w:numId="29" w16cid:durableId="154996821">
    <w:abstractNumId w:val="2"/>
  </w:num>
  <w:num w:numId="30" w16cid:durableId="564727919">
    <w:abstractNumId w:val="9"/>
  </w:num>
  <w:num w:numId="31" w16cid:durableId="1401639768">
    <w:abstractNumId w:val="0"/>
  </w:num>
  <w:num w:numId="32" w16cid:durableId="131336470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4B5C"/>
    <w:rsid w:val="000000A5"/>
    <w:rsid w:val="00000AB6"/>
    <w:rsid w:val="00000B27"/>
    <w:rsid w:val="0000161C"/>
    <w:rsid w:val="00001908"/>
    <w:rsid w:val="00001B90"/>
    <w:rsid w:val="00001BA6"/>
    <w:rsid w:val="00002067"/>
    <w:rsid w:val="00002213"/>
    <w:rsid w:val="00002EEB"/>
    <w:rsid w:val="00003635"/>
    <w:rsid w:val="00003AB2"/>
    <w:rsid w:val="00003CE0"/>
    <w:rsid w:val="00003D0F"/>
    <w:rsid w:val="0000414F"/>
    <w:rsid w:val="00004174"/>
    <w:rsid w:val="00004C82"/>
    <w:rsid w:val="00004DB4"/>
    <w:rsid w:val="00004E3B"/>
    <w:rsid w:val="00004E81"/>
    <w:rsid w:val="0000500B"/>
    <w:rsid w:val="00005152"/>
    <w:rsid w:val="000053D9"/>
    <w:rsid w:val="00005582"/>
    <w:rsid w:val="00005697"/>
    <w:rsid w:val="000058C9"/>
    <w:rsid w:val="00005EF8"/>
    <w:rsid w:val="00006BBE"/>
    <w:rsid w:val="00006C58"/>
    <w:rsid w:val="00006E2D"/>
    <w:rsid w:val="000077D5"/>
    <w:rsid w:val="00007904"/>
    <w:rsid w:val="0000797F"/>
    <w:rsid w:val="00007DD4"/>
    <w:rsid w:val="000103BD"/>
    <w:rsid w:val="00010A97"/>
    <w:rsid w:val="00010B97"/>
    <w:rsid w:val="0001121E"/>
    <w:rsid w:val="0001127D"/>
    <w:rsid w:val="000118E6"/>
    <w:rsid w:val="0001195C"/>
    <w:rsid w:val="00011AD9"/>
    <w:rsid w:val="00011D32"/>
    <w:rsid w:val="000123F0"/>
    <w:rsid w:val="0001252B"/>
    <w:rsid w:val="00012808"/>
    <w:rsid w:val="00012862"/>
    <w:rsid w:val="0001337D"/>
    <w:rsid w:val="0001364F"/>
    <w:rsid w:val="00013F38"/>
    <w:rsid w:val="00014050"/>
    <w:rsid w:val="00014095"/>
    <w:rsid w:val="000145F0"/>
    <w:rsid w:val="00014C54"/>
    <w:rsid w:val="00014E31"/>
    <w:rsid w:val="00014EC7"/>
    <w:rsid w:val="00015241"/>
    <w:rsid w:val="00015279"/>
    <w:rsid w:val="00015351"/>
    <w:rsid w:val="00015D98"/>
    <w:rsid w:val="00016066"/>
    <w:rsid w:val="00016616"/>
    <w:rsid w:val="00016C01"/>
    <w:rsid w:val="00016E3C"/>
    <w:rsid w:val="00017358"/>
    <w:rsid w:val="00017494"/>
    <w:rsid w:val="000177FB"/>
    <w:rsid w:val="000200E6"/>
    <w:rsid w:val="00020258"/>
    <w:rsid w:val="00020722"/>
    <w:rsid w:val="000207F9"/>
    <w:rsid w:val="00020A56"/>
    <w:rsid w:val="00021452"/>
    <w:rsid w:val="0002173E"/>
    <w:rsid w:val="00021840"/>
    <w:rsid w:val="00021D78"/>
    <w:rsid w:val="00021F29"/>
    <w:rsid w:val="00022104"/>
    <w:rsid w:val="0002227D"/>
    <w:rsid w:val="000222DE"/>
    <w:rsid w:val="000229B9"/>
    <w:rsid w:val="00022BF9"/>
    <w:rsid w:val="0002327C"/>
    <w:rsid w:val="00023BBF"/>
    <w:rsid w:val="000240D4"/>
    <w:rsid w:val="00024297"/>
    <w:rsid w:val="00024A31"/>
    <w:rsid w:val="00024B94"/>
    <w:rsid w:val="00024EFE"/>
    <w:rsid w:val="00024F62"/>
    <w:rsid w:val="00024FA4"/>
    <w:rsid w:val="00024FEF"/>
    <w:rsid w:val="00025C5F"/>
    <w:rsid w:val="00025F2E"/>
    <w:rsid w:val="00025F85"/>
    <w:rsid w:val="000260D2"/>
    <w:rsid w:val="0002697E"/>
    <w:rsid w:val="000270A4"/>
    <w:rsid w:val="0002719C"/>
    <w:rsid w:val="00027245"/>
    <w:rsid w:val="00027350"/>
    <w:rsid w:val="0002768F"/>
    <w:rsid w:val="000276AF"/>
    <w:rsid w:val="00027A9C"/>
    <w:rsid w:val="00030A03"/>
    <w:rsid w:val="00030D18"/>
    <w:rsid w:val="00031C81"/>
    <w:rsid w:val="00031E71"/>
    <w:rsid w:val="00032548"/>
    <w:rsid w:val="00032B5B"/>
    <w:rsid w:val="00033913"/>
    <w:rsid w:val="00034062"/>
    <w:rsid w:val="000340FA"/>
    <w:rsid w:val="00034DAE"/>
    <w:rsid w:val="00034E0A"/>
    <w:rsid w:val="00034E16"/>
    <w:rsid w:val="00034E86"/>
    <w:rsid w:val="00034EDB"/>
    <w:rsid w:val="0003519D"/>
    <w:rsid w:val="0003548A"/>
    <w:rsid w:val="000354D1"/>
    <w:rsid w:val="00035566"/>
    <w:rsid w:val="0003593D"/>
    <w:rsid w:val="00035BED"/>
    <w:rsid w:val="00035D1B"/>
    <w:rsid w:val="00036105"/>
    <w:rsid w:val="00036154"/>
    <w:rsid w:val="000368B0"/>
    <w:rsid w:val="000373BD"/>
    <w:rsid w:val="000377DF"/>
    <w:rsid w:val="00037A02"/>
    <w:rsid w:val="00037AD0"/>
    <w:rsid w:val="00037F8D"/>
    <w:rsid w:val="000400D5"/>
    <w:rsid w:val="00040C05"/>
    <w:rsid w:val="00040D27"/>
    <w:rsid w:val="00040DC0"/>
    <w:rsid w:val="00041360"/>
    <w:rsid w:val="000418B5"/>
    <w:rsid w:val="00041B97"/>
    <w:rsid w:val="00041C3C"/>
    <w:rsid w:val="00041DEA"/>
    <w:rsid w:val="00042026"/>
    <w:rsid w:val="00042713"/>
    <w:rsid w:val="0004314B"/>
    <w:rsid w:val="0004315D"/>
    <w:rsid w:val="00043331"/>
    <w:rsid w:val="0004379A"/>
    <w:rsid w:val="00043813"/>
    <w:rsid w:val="0004383B"/>
    <w:rsid w:val="0004396A"/>
    <w:rsid w:val="00043A0C"/>
    <w:rsid w:val="00043B6E"/>
    <w:rsid w:val="000440B8"/>
    <w:rsid w:val="000440EB"/>
    <w:rsid w:val="0004426A"/>
    <w:rsid w:val="00044277"/>
    <w:rsid w:val="00044592"/>
    <w:rsid w:val="00044D32"/>
    <w:rsid w:val="00044E6B"/>
    <w:rsid w:val="00045008"/>
    <w:rsid w:val="00045577"/>
    <w:rsid w:val="000455F8"/>
    <w:rsid w:val="000456BF"/>
    <w:rsid w:val="00045960"/>
    <w:rsid w:val="00045F8B"/>
    <w:rsid w:val="0004630C"/>
    <w:rsid w:val="000463F9"/>
    <w:rsid w:val="000472A7"/>
    <w:rsid w:val="000472BD"/>
    <w:rsid w:val="0004745A"/>
    <w:rsid w:val="000500CA"/>
    <w:rsid w:val="00050143"/>
    <w:rsid w:val="00050277"/>
    <w:rsid w:val="000502EB"/>
    <w:rsid w:val="00050F76"/>
    <w:rsid w:val="00051021"/>
    <w:rsid w:val="000510B6"/>
    <w:rsid w:val="000511C9"/>
    <w:rsid w:val="00051570"/>
    <w:rsid w:val="0005188F"/>
    <w:rsid w:val="000518A2"/>
    <w:rsid w:val="00051973"/>
    <w:rsid w:val="00051F13"/>
    <w:rsid w:val="000520E6"/>
    <w:rsid w:val="0005243A"/>
    <w:rsid w:val="00052896"/>
    <w:rsid w:val="000532E5"/>
    <w:rsid w:val="000537DA"/>
    <w:rsid w:val="0005392F"/>
    <w:rsid w:val="00053C74"/>
    <w:rsid w:val="00053DEB"/>
    <w:rsid w:val="00053ED2"/>
    <w:rsid w:val="00054FA7"/>
    <w:rsid w:val="0005504B"/>
    <w:rsid w:val="00055298"/>
    <w:rsid w:val="000557AC"/>
    <w:rsid w:val="00055C36"/>
    <w:rsid w:val="00055DC5"/>
    <w:rsid w:val="00055DFB"/>
    <w:rsid w:val="0005669B"/>
    <w:rsid w:val="00056877"/>
    <w:rsid w:val="000569A0"/>
    <w:rsid w:val="00056B7C"/>
    <w:rsid w:val="00056E82"/>
    <w:rsid w:val="00056E84"/>
    <w:rsid w:val="00057221"/>
    <w:rsid w:val="00057384"/>
    <w:rsid w:val="00057912"/>
    <w:rsid w:val="00057A09"/>
    <w:rsid w:val="00057AB7"/>
    <w:rsid w:val="00057AC5"/>
    <w:rsid w:val="00057ADA"/>
    <w:rsid w:val="0006020B"/>
    <w:rsid w:val="0006023B"/>
    <w:rsid w:val="00060A55"/>
    <w:rsid w:val="00060C9E"/>
    <w:rsid w:val="00060FDD"/>
    <w:rsid w:val="0006102F"/>
    <w:rsid w:val="00061391"/>
    <w:rsid w:val="00061718"/>
    <w:rsid w:val="000619FE"/>
    <w:rsid w:val="00061B07"/>
    <w:rsid w:val="00061B2C"/>
    <w:rsid w:val="00061BDC"/>
    <w:rsid w:val="00061ECA"/>
    <w:rsid w:val="00061FD9"/>
    <w:rsid w:val="00062124"/>
    <w:rsid w:val="00062177"/>
    <w:rsid w:val="00062262"/>
    <w:rsid w:val="000622DD"/>
    <w:rsid w:val="000625DF"/>
    <w:rsid w:val="0006287A"/>
    <w:rsid w:val="00062C48"/>
    <w:rsid w:val="00062DB5"/>
    <w:rsid w:val="000632DD"/>
    <w:rsid w:val="00063586"/>
    <w:rsid w:val="0006390D"/>
    <w:rsid w:val="000639F3"/>
    <w:rsid w:val="00063AA4"/>
    <w:rsid w:val="00063BFF"/>
    <w:rsid w:val="00063E9D"/>
    <w:rsid w:val="00064B0C"/>
    <w:rsid w:val="000651CC"/>
    <w:rsid w:val="00065D80"/>
    <w:rsid w:val="0006680F"/>
    <w:rsid w:val="00066CFA"/>
    <w:rsid w:val="00067BD5"/>
    <w:rsid w:val="0007022A"/>
    <w:rsid w:val="000702DB"/>
    <w:rsid w:val="000705D2"/>
    <w:rsid w:val="00070B04"/>
    <w:rsid w:val="00070C1F"/>
    <w:rsid w:val="00070D28"/>
    <w:rsid w:val="00070D6C"/>
    <w:rsid w:val="00071134"/>
    <w:rsid w:val="0007192B"/>
    <w:rsid w:val="00072204"/>
    <w:rsid w:val="00072598"/>
    <w:rsid w:val="00072674"/>
    <w:rsid w:val="000730FB"/>
    <w:rsid w:val="00073554"/>
    <w:rsid w:val="0007388B"/>
    <w:rsid w:val="00073913"/>
    <w:rsid w:val="00073AA7"/>
    <w:rsid w:val="00073EB5"/>
    <w:rsid w:val="0007487A"/>
    <w:rsid w:val="00075004"/>
    <w:rsid w:val="00075A22"/>
    <w:rsid w:val="00076094"/>
    <w:rsid w:val="000766D7"/>
    <w:rsid w:val="00076778"/>
    <w:rsid w:val="000767B5"/>
    <w:rsid w:val="00076928"/>
    <w:rsid w:val="00076AC5"/>
    <w:rsid w:val="00076C09"/>
    <w:rsid w:val="0007705F"/>
    <w:rsid w:val="00077201"/>
    <w:rsid w:val="00077583"/>
    <w:rsid w:val="0007765A"/>
    <w:rsid w:val="00077A00"/>
    <w:rsid w:val="00077C00"/>
    <w:rsid w:val="00077C9C"/>
    <w:rsid w:val="00077CDD"/>
    <w:rsid w:val="00077DA6"/>
    <w:rsid w:val="000811CD"/>
    <w:rsid w:val="000813F8"/>
    <w:rsid w:val="00081933"/>
    <w:rsid w:val="00081C26"/>
    <w:rsid w:val="000824B8"/>
    <w:rsid w:val="000825D9"/>
    <w:rsid w:val="00082A86"/>
    <w:rsid w:val="00082B2F"/>
    <w:rsid w:val="00083619"/>
    <w:rsid w:val="0008396C"/>
    <w:rsid w:val="0008440A"/>
    <w:rsid w:val="0008456D"/>
    <w:rsid w:val="0008526D"/>
    <w:rsid w:val="000854C5"/>
    <w:rsid w:val="00085754"/>
    <w:rsid w:val="000858A1"/>
    <w:rsid w:val="00085BBC"/>
    <w:rsid w:val="00085C04"/>
    <w:rsid w:val="00085DBB"/>
    <w:rsid w:val="00086921"/>
    <w:rsid w:val="00086B29"/>
    <w:rsid w:val="00086CD6"/>
    <w:rsid w:val="00087300"/>
    <w:rsid w:val="00087C60"/>
    <w:rsid w:val="00087F0D"/>
    <w:rsid w:val="000904C0"/>
    <w:rsid w:val="000904C9"/>
    <w:rsid w:val="000904ED"/>
    <w:rsid w:val="00090532"/>
    <w:rsid w:val="00090545"/>
    <w:rsid w:val="00090838"/>
    <w:rsid w:val="00090D0B"/>
    <w:rsid w:val="00091437"/>
    <w:rsid w:val="0009153E"/>
    <w:rsid w:val="00091C94"/>
    <w:rsid w:val="00091EBA"/>
    <w:rsid w:val="00091EF1"/>
    <w:rsid w:val="000921D9"/>
    <w:rsid w:val="00092FEE"/>
    <w:rsid w:val="0009321B"/>
    <w:rsid w:val="00093864"/>
    <w:rsid w:val="00093899"/>
    <w:rsid w:val="0009390C"/>
    <w:rsid w:val="00093F94"/>
    <w:rsid w:val="0009418E"/>
    <w:rsid w:val="00094693"/>
    <w:rsid w:val="000946B0"/>
    <w:rsid w:val="00094E5B"/>
    <w:rsid w:val="00094FDB"/>
    <w:rsid w:val="00094FF3"/>
    <w:rsid w:val="000956F6"/>
    <w:rsid w:val="0009588B"/>
    <w:rsid w:val="000961E3"/>
    <w:rsid w:val="00096211"/>
    <w:rsid w:val="00096303"/>
    <w:rsid w:val="0009670B"/>
    <w:rsid w:val="000967BD"/>
    <w:rsid w:val="00096BAA"/>
    <w:rsid w:val="00096F36"/>
    <w:rsid w:val="00096F7B"/>
    <w:rsid w:val="0009729E"/>
    <w:rsid w:val="00097476"/>
    <w:rsid w:val="000A07E5"/>
    <w:rsid w:val="000A08CB"/>
    <w:rsid w:val="000A0C4B"/>
    <w:rsid w:val="000A0D2D"/>
    <w:rsid w:val="000A131F"/>
    <w:rsid w:val="000A15D3"/>
    <w:rsid w:val="000A160A"/>
    <w:rsid w:val="000A1A89"/>
    <w:rsid w:val="000A1BF0"/>
    <w:rsid w:val="000A1FA8"/>
    <w:rsid w:val="000A2102"/>
    <w:rsid w:val="000A21AD"/>
    <w:rsid w:val="000A3193"/>
    <w:rsid w:val="000A331F"/>
    <w:rsid w:val="000A34E5"/>
    <w:rsid w:val="000A3D0C"/>
    <w:rsid w:val="000A3FD7"/>
    <w:rsid w:val="000A42CB"/>
    <w:rsid w:val="000A4C60"/>
    <w:rsid w:val="000A56A7"/>
    <w:rsid w:val="000A573C"/>
    <w:rsid w:val="000A58FA"/>
    <w:rsid w:val="000A5B2E"/>
    <w:rsid w:val="000A5D33"/>
    <w:rsid w:val="000A5FAD"/>
    <w:rsid w:val="000A634F"/>
    <w:rsid w:val="000A64C5"/>
    <w:rsid w:val="000A6594"/>
    <w:rsid w:val="000A67BA"/>
    <w:rsid w:val="000A6810"/>
    <w:rsid w:val="000A6946"/>
    <w:rsid w:val="000A754A"/>
    <w:rsid w:val="000A7A85"/>
    <w:rsid w:val="000A7BC5"/>
    <w:rsid w:val="000A7D87"/>
    <w:rsid w:val="000A7DED"/>
    <w:rsid w:val="000B0037"/>
    <w:rsid w:val="000B0264"/>
    <w:rsid w:val="000B035B"/>
    <w:rsid w:val="000B04FB"/>
    <w:rsid w:val="000B056F"/>
    <w:rsid w:val="000B05ED"/>
    <w:rsid w:val="000B0779"/>
    <w:rsid w:val="000B0924"/>
    <w:rsid w:val="000B0BDF"/>
    <w:rsid w:val="000B0FFA"/>
    <w:rsid w:val="000B1438"/>
    <w:rsid w:val="000B1B65"/>
    <w:rsid w:val="000B1C9A"/>
    <w:rsid w:val="000B20C7"/>
    <w:rsid w:val="000B2282"/>
    <w:rsid w:val="000B22C6"/>
    <w:rsid w:val="000B2886"/>
    <w:rsid w:val="000B2B47"/>
    <w:rsid w:val="000B2B92"/>
    <w:rsid w:val="000B2F45"/>
    <w:rsid w:val="000B2FFC"/>
    <w:rsid w:val="000B34A7"/>
    <w:rsid w:val="000B3B02"/>
    <w:rsid w:val="000B3F2A"/>
    <w:rsid w:val="000B4549"/>
    <w:rsid w:val="000B46FD"/>
    <w:rsid w:val="000B49A5"/>
    <w:rsid w:val="000B4ED6"/>
    <w:rsid w:val="000B4FD2"/>
    <w:rsid w:val="000B51D1"/>
    <w:rsid w:val="000B528D"/>
    <w:rsid w:val="000B5552"/>
    <w:rsid w:val="000B5CF5"/>
    <w:rsid w:val="000B6448"/>
    <w:rsid w:val="000B651F"/>
    <w:rsid w:val="000B6EE2"/>
    <w:rsid w:val="000B75A5"/>
    <w:rsid w:val="000B77AC"/>
    <w:rsid w:val="000B78F9"/>
    <w:rsid w:val="000B7F77"/>
    <w:rsid w:val="000C030E"/>
    <w:rsid w:val="000C06C8"/>
    <w:rsid w:val="000C0BAC"/>
    <w:rsid w:val="000C0DC9"/>
    <w:rsid w:val="000C1512"/>
    <w:rsid w:val="000C2DA1"/>
    <w:rsid w:val="000C2E62"/>
    <w:rsid w:val="000C3054"/>
    <w:rsid w:val="000C3D96"/>
    <w:rsid w:val="000C402F"/>
    <w:rsid w:val="000C4033"/>
    <w:rsid w:val="000C43B0"/>
    <w:rsid w:val="000C4818"/>
    <w:rsid w:val="000C4887"/>
    <w:rsid w:val="000C4BC7"/>
    <w:rsid w:val="000C4FF5"/>
    <w:rsid w:val="000C5B64"/>
    <w:rsid w:val="000C5CCA"/>
    <w:rsid w:val="000C5E78"/>
    <w:rsid w:val="000C5F23"/>
    <w:rsid w:val="000C6085"/>
    <w:rsid w:val="000C640F"/>
    <w:rsid w:val="000C68C6"/>
    <w:rsid w:val="000C6B40"/>
    <w:rsid w:val="000C6C43"/>
    <w:rsid w:val="000C6D3E"/>
    <w:rsid w:val="000C6F65"/>
    <w:rsid w:val="000C7246"/>
    <w:rsid w:val="000C73DF"/>
    <w:rsid w:val="000C7BAA"/>
    <w:rsid w:val="000D0280"/>
    <w:rsid w:val="000D0393"/>
    <w:rsid w:val="000D0685"/>
    <w:rsid w:val="000D0927"/>
    <w:rsid w:val="000D0CE4"/>
    <w:rsid w:val="000D0D9B"/>
    <w:rsid w:val="000D1E52"/>
    <w:rsid w:val="000D2166"/>
    <w:rsid w:val="000D22A3"/>
    <w:rsid w:val="000D2E0E"/>
    <w:rsid w:val="000D3232"/>
    <w:rsid w:val="000D3808"/>
    <w:rsid w:val="000D45BB"/>
    <w:rsid w:val="000D49BC"/>
    <w:rsid w:val="000D4AE5"/>
    <w:rsid w:val="000D51DE"/>
    <w:rsid w:val="000D56A9"/>
    <w:rsid w:val="000D5A2B"/>
    <w:rsid w:val="000D5B1F"/>
    <w:rsid w:val="000D5F6C"/>
    <w:rsid w:val="000D6078"/>
    <w:rsid w:val="000D6708"/>
    <w:rsid w:val="000D6B09"/>
    <w:rsid w:val="000D6D49"/>
    <w:rsid w:val="000D6E6E"/>
    <w:rsid w:val="000D6ED6"/>
    <w:rsid w:val="000D6F2E"/>
    <w:rsid w:val="000D7E9B"/>
    <w:rsid w:val="000E080A"/>
    <w:rsid w:val="000E136F"/>
    <w:rsid w:val="000E1730"/>
    <w:rsid w:val="000E18BB"/>
    <w:rsid w:val="000E2226"/>
    <w:rsid w:val="000E25A7"/>
    <w:rsid w:val="000E28FA"/>
    <w:rsid w:val="000E29AA"/>
    <w:rsid w:val="000E2D28"/>
    <w:rsid w:val="000E3234"/>
    <w:rsid w:val="000E329D"/>
    <w:rsid w:val="000E32E7"/>
    <w:rsid w:val="000E3385"/>
    <w:rsid w:val="000E3432"/>
    <w:rsid w:val="000E3539"/>
    <w:rsid w:val="000E37B7"/>
    <w:rsid w:val="000E3A41"/>
    <w:rsid w:val="000E3B7C"/>
    <w:rsid w:val="000E43FE"/>
    <w:rsid w:val="000E459F"/>
    <w:rsid w:val="000E488C"/>
    <w:rsid w:val="000E4A37"/>
    <w:rsid w:val="000E4A66"/>
    <w:rsid w:val="000E5115"/>
    <w:rsid w:val="000E54FF"/>
    <w:rsid w:val="000E5636"/>
    <w:rsid w:val="000E5795"/>
    <w:rsid w:val="000E6212"/>
    <w:rsid w:val="000E6DB0"/>
    <w:rsid w:val="000F004F"/>
    <w:rsid w:val="000F0A33"/>
    <w:rsid w:val="000F0BC2"/>
    <w:rsid w:val="000F0CB1"/>
    <w:rsid w:val="000F0FE7"/>
    <w:rsid w:val="000F106E"/>
    <w:rsid w:val="000F13AE"/>
    <w:rsid w:val="000F157D"/>
    <w:rsid w:val="000F1744"/>
    <w:rsid w:val="000F1A78"/>
    <w:rsid w:val="000F1C2F"/>
    <w:rsid w:val="000F1D56"/>
    <w:rsid w:val="000F1E2B"/>
    <w:rsid w:val="000F209B"/>
    <w:rsid w:val="000F2222"/>
    <w:rsid w:val="000F253C"/>
    <w:rsid w:val="000F2678"/>
    <w:rsid w:val="000F2A03"/>
    <w:rsid w:val="000F2F01"/>
    <w:rsid w:val="000F343D"/>
    <w:rsid w:val="000F3450"/>
    <w:rsid w:val="000F42C0"/>
    <w:rsid w:val="000F4396"/>
    <w:rsid w:val="000F4C2B"/>
    <w:rsid w:val="000F4CDE"/>
    <w:rsid w:val="000F4FB8"/>
    <w:rsid w:val="000F5052"/>
    <w:rsid w:val="000F50EC"/>
    <w:rsid w:val="000F5277"/>
    <w:rsid w:val="000F6311"/>
    <w:rsid w:val="000F6598"/>
    <w:rsid w:val="000F729D"/>
    <w:rsid w:val="000F74B6"/>
    <w:rsid w:val="000F7656"/>
    <w:rsid w:val="000F7705"/>
    <w:rsid w:val="000F7F9B"/>
    <w:rsid w:val="00100229"/>
    <w:rsid w:val="0010097C"/>
    <w:rsid w:val="00100C16"/>
    <w:rsid w:val="00100E86"/>
    <w:rsid w:val="0010105A"/>
    <w:rsid w:val="00101275"/>
    <w:rsid w:val="00101813"/>
    <w:rsid w:val="00101958"/>
    <w:rsid w:val="00101AB1"/>
    <w:rsid w:val="00101EED"/>
    <w:rsid w:val="001020C2"/>
    <w:rsid w:val="001020CC"/>
    <w:rsid w:val="001025E4"/>
    <w:rsid w:val="00102938"/>
    <w:rsid w:val="00102ACF"/>
    <w:rsid w:val="00102CCD"/>
    <w:rsid w:val="00102F2D"/>
    <w:rsid w:val="00103330"/>
    <w:rsid w:val="001036FB"/>
    <w:rsid w:val="00103737"/>
    <w:rsid w:val="00103A96"/>
    <w:rsid w:val="00104109"/>
    <w:rsid w:val="00104843"/>
    <w:rsid w:val="0010536A"/>
    <w:rsid w:val="001054F2"/>
    <w:rsid w:val="001055AD"/>
    <w:rsid w:val="00105E4C"/>
    <w:rsid w:val="00105F50"/>
    <w:rsid w:val="00106573"/>
    <w:rsid w:val="0010693A"/>
    <w:rsid w:val="00106BC5"/>
    <w:rsid w:val="00106C70"/>
    <w:rsid w:val="0010709C"/>
    <w:rsid w:val="001076F6"/>
    <w:rsid w:val="00107812"/>
    <w:rsid w:val="00107844"/>
    <w:rsid w:val="00107970"/>
    <w:rsid w:val="001079C0"/>
    <w:rsid w:val="00107A80"/>
    <w:rsid w:val="00107AC4"/>
    <w:rsid w:val="00107CFE"/>
    <w:rsid w:val="001102DF"/>
    <w:rsid w:val="0011034A"/>
    <w:rsid w:val="001109BE"/>
    <w:rsid w:val="00110DC4"/>
    <w:rsid w:val="0011120D"/>
    <w:rsid w:val="001113EE"/>
    <w:rsid w:val="001130EB"/>
    <w:rsid w:val="0011325D"/>
    <w:rsid w:val="001132D0"/>
    <w:rsid w:val="00113419"/>
    <w:rsid w:val="0011356B"/>
    <w:rsid w:val="00113648"/>
    <w:rsid w:val="00113D06"/>
    <w:rsid w:val="0011404F"/>
    <w:rsid w:val="001140B2"/>
    <w:rsid w:val="001146E8"/>
    <w:rsid w:val="001147AF"/>
    <w:rsid w:val="001153FD"/>
    <w:rsid w:val="00115403"/>
    <w:rsid w:val="0011566C"/>
    <w:rsid w:val="00115D26"/>
    <w:rsid w:val="00115E52"/>
    <w:rsid w:val="00116044"/>
    <w:rsid w:val="0011645A"/>
    <w:rsid w:val="001169BA"/>
    <w:rsid w:val="00116A8E"/>
    <w:rsid w:val="00116C46"/>
    <w:rsid w:val="00117071"/>
    <w:rsid w:val="00117C0D"/>
    <w:rsid w:val="00117F76"/>
    <w:rsid w:val="00120156"/>
    <w:rsid w:val="00120CF6"/>
    <w:rsid w:val="001212C4"/>
    <w:rsid w:val="0012131B"/>
    <w:rsid w:val="0012148C"/>
    <w:rsid w:val="001214BE"/>
    <w:rsid w:val="00121753"/>
    <w:rsid w:val="001223B5"/>
    <w:rsid w:val="00122540"/>
    <w:rsid w:val="00122AA9"/>
    <w:rsid w:val="0012303D"/>
    <w:rsid w:val="00123482"/>
    <w:rsid w:val="00123D02"/>
    <w:rsid w:val="001240B8"/>
    <w:rsid w:val="00124618"/>
    <w:rsid w:val="00124855"/>
    <w:rsid w:val="0012499F"/>
    <w:rsid w:val="00125146"/>
    <w:rsid w:val="0012526B"/>
    <w:rsid w:val="0012553A"/>
    <w:rsid w:val="00126F10"/>
    <w:rsid w:val="0012738E"/>
    <w:rsid w:val="001276BB"/>
    <w:rsid w:val="00127751"/>
    <w:rsid w:val="00127A33"/>
    <w:rsid w:val="00127ED8"/>
    <w:rsid w:val="00130144"/>
    <w:rsid w:val="001301FE"/>
    <w:rsid w:val="00130404"/>
    <w:rsid w:val="001304D2"/>
    <w:rsid w:val="001308BA"/>
    <w:rsid w:val="001309C8"/>
    <w:rsid w:val="00130CDB"/>
    <w:rsid w:val="00132735"/>
    <w:rsid w:val="0013356A"/>
    <w:rsid w:val="00133785"/>
    <w:rsid w:val="00133802"/>
    <w:rsid w:val="001338BB"/>
    <w:rsid w:val="0013399A"/>
    <w:rsid w:val="00134176"/>
    <w:rsid w:val="001346BE"/>
    <w:rsid w:val="0013484F"/>
    <w:rsid w:val="00135226"/>
    <w:rsid w:val="001354E7"/>
    <w:rsid w:val="001359E4"/>
    <w:rsid w:val="00136249"/>
    <w:rsid w:val="00136403"/>
    <w:rsid w:val="001368EB"/>
    <w:rsid w:val="00136BF4"/>
    <w:rsid w:val="00136D00"/>
    <w:rsid w:val="00136F14"/>
    <w:rsid w:val="00137089"/>
    <w:rsid w:val="001370EE"/>
    <w:rsid w:val="001372A7"/>
    <w:rsid w:val="001376CB"/>
    <w:rsid w:val="00137726"/>
    <w:rsid w:val="00137BA4"/>
    <w:rsid w:val="0014088E"/>
    <w:rsid w:val="00140E2E"/>
    <w:rsid w:val="00140ED5"/>
    <w:rsid w:val="00140F4C"/>
    <w:rsid w:val="00140F7E"/>
    <w:rsid w:val="00141107"/>
    <w:rsid w:val="00141F72"/>
    <w:rsid w:val="001427C4"/>
    <w:rsid w:val="00142A63"/>
    <w:rsid w:val="00142AA4"/>
    <w:rsid w:val="00143239"/>
    <w:rsid w:val="00143517"/>
    <w:rsid w:val="001436AC"/>
    <w:rsid w:val="00143977"/>
    <w:rsid w:val="00143C5D"/>
    <w:rsid w:val="00144179"/>
    <w:rsid w:val="00144662"/>
    <w:rsid w:val="00144717"/>
    <w:rsid w:val="00144A96"/>
    <w:rsid w:val="00144B98"/>
    <w:rsid w:val="00144C61"/>
    <w:rsid w:val="0014553D"/>
    <w:rsid w:val="00145542"/>
    <w:rsid w:val="001455BF"/>
    <w:rsid w:val="0014586E"/>
    <w:rsid w:val="001467F9"/>
    <w:rsid w:val="00146C0B"/>
    <w:rsid w:val="00146C6A"/>
    <w:rsid w:val="00146EDB"/>
    <w:rsid w:val="001477A4"/>
    <w:rsid w:val="001478F3"/>
    <w:rsid w:val="00147A9D"/>
    <w:rsid w:val="00147D00"/>
    <w:rsid w:val="00147D75"/>
    <w:rsid w:val="001503F9"/>
    <w:rsid w:val="00150522"/>
    <w:rsid w:val="00150EC0"/>
    <w:rsid w:val="00151332"/>
    <w:rsid w:val="00151583"/>
    <w:rsid w:val="00151616"/>
    <w:rsid w:val="001518F3"/>
    <w:rsid w:val="00151A21"/>
    <w:rsid w:val="00151C44"/>
    <w:rsid w:val="00151E01"/>
    <w:rsid w:val="00151FD2"/>
    <w:rsid w:val="0015201F"/>
    <w:rsid w:val="00152303"/>
    <w:rsid w:val="00152686"/>
    <w:rsid w:val="00152A89"/>
    <w:rsid w:val="00152DCA"/>
    <w:rsid w:val="00153F40"/>
    <w:rsid w:val="00153FCD"/>
    <w:rsid w:val="0015423E"/>
    <w:rsid w:val="001544E1"/>
    <w:rsid w:val="00154652"/>
    <w:rsid w:val="001546CD"/>
    <w:rsid w:val="001547DE"/>
    <w:rsid w:val="00154D34"/>
    <w:rsid w:val="00155529"/>
    <w:rsid w:val="00155716"/>
    <w:rsid w:val="001563C5"/>
    <w:rsid w:val="00156893"/>
    <w:rsid w:val="001569CA"/>
    <w:rsid w:val="00156A0E"/>
    <w:rsid w:val="00156D04"/>
    <w:rsid w:val="001571DC"/>
    <w:rsid w:val="001573F0"/>
    <w:rsid w:val="001577CC"/>
    <w:rsid w:val="00157A63"/>
    <w:rsid w:val="001604F4"/>
    <w:rsid w:val="00160C58"/>
    <w:rsid w:val="00160C93"/>
    <w:rsid w:val="00160F57"/>
    <w:rsid w:val="00161475"/>
    <w:rsid w:val="0016186C"/>
    <w:rsid w:val="00161CD3"/>
    <w:rsid w:val="00161DCE"/>
    <w:rsid w:val="00161F2D"/>
    <w:rsid w:val="00162043"/>
    <w:rsid w:val="0016228A"/>
    <w:rsid w:val="001625D5"/>
    <w:rsid w:val="001629D3"/>
    <w:rsid w:val="00162A3F"/>
    <w:rsid w:val="00162AA9"/>
    <w:rsid w:val="00162AD6"/>
    <w:rsid w:val="00162B9F"/>
    <w:rsid w:val="00162F9E"/>
    <w:rsid w:val="00163CCD"/>
    <w:rsid w:val="00164781"/>
    <w:rsid w:val="001648F7"/>
    <w:rsid w:val="00164B45"/>
    <w:rsid w:val="001651E9"/>
    <w:rsid w:val="001655A6"/>
    <w:rsid w:val="001663F6"/>
    <w:rsid w:val="00166520"/>
    <w:rsid w:val="00166841"/>
    <w:rsid w:val="0016687B"/>
    <w:rsid w:val="001670C0"/>
    <w:rsid w:val="00167675"/>
    <w:rsid w:val="001679FE"/>
    <w:rsid w:val="00167F78"/>
    <w:rsid w:val="00170171"/>
    <w:rsid w:val="00170883"/>
    <w:rsid w:val="00170B81"/>
    <w:rsid w:val="00170D35"/>
    <w:rsid w:val="00171377"/>
    <w:rsid w:val="001715A4"/>
    <w:rsid w:val="00171614"/>
    <w:rsid w:val="00171950"/>
    <w:rsid w:val="00171C94"/>
    <w:rsid w:val="00171CE5"/>
    <w:rsid w:val="00171E80"/>
    <w:rsid w:val="00172ACC"/>
    <w:rsid w:val="00173E02"/>
    <w:rsid w:val="00174417"/>
    <w:rsid w:val="001746DA"/>
    <w:rsid w:val="00174C63"/>
    <w:rsid w:val="00175261"/>
    <w:rsid w:val="001756D7"/>
    <w:rsid w:val="001758C3"/>
    <w:rsid w:val="001759AF"/>
    <w:rsid w:val="00175B2E"/>
    <w:rsid w:val="00175F11"/>
    <w:rsid w:val="001767CD"/>
    <w:rsid w:val="00176A43"/>
    <w:rsid w:val="00176DD0"/>
    <w:rsid w:val="00176DED"/>
    <w:rsid w:val="00176EC3"/>
    <w:rsid w:val="0017778F"/>
    <w:rsid w:val="00177C66"/>
    <w:rsid w:val="00177D80"/>
    <w:rsid w:val="00177EA1"/>
    <w:rsid w:val="00180532"/>
    <w:rsid w:val="001808B8"/>
    <w:rsid w:val="001808B9"/>
    <w:rsid w:val="00180F7D"/>
    <w:rsid w:val="00180FA5"/>
    <w:rsid w:val="001819DD"/>
    <w:rsid w:val="0018201E"/>
    <w:rsid w:val="001825BD"/>
    <w:rsid w:val="00182ABF"/>
    <w:rsid w:val="00182B25"/>
    <w:rsid w:val="00182BD7"/>
    <w:rsid w:val="001832A3"/>
    <w:rsid w:val="00183929"/>
    <w:rsid w:val="0018398E"/>
    <w:rsid w:val="001839A1"/>
    <w:rsid w:val="001839F9"/>
    <w:rsid w:val="00183B00"/>
    <w:rsid w:val="00183D5B"/>
    <w:rsid w:val="001842C8"/>
    <w:rsid w:val="001847F2"/>
    <w:rsid w:val="001848C0"/>
    <w:rsid w:val="001849FD"/>
    <w:rsid w:val="00184ABF"/>
    <w:rsid w:val="00185318"/>
    <w:rsid w:val="001859DA"/>
    <w:rsid w:val="00185C33"/>
    <w:rsid w:val="001863D5"/>
    <w:rsid w:val="00186440"/>
    <w:rsid w:val="00186441"/>
    <w:rsid w:val="00186658"/>
    <w:rsid w:val="0018680C"/>
    <w:rsid w:val="00186884"/>
    <w:rsid w:val="001869DB"/>
    <w:rsid w:val="001872A6"/>
    <w:rsid w:val="0018745B"/>
    <w:rsid w:val="00190A6E"/>
    <w:rsid w:val="00191387"/>
    <w:rsid w:val="001915E3"/>
    <w:rsid w:val="00191A43"/>
    <w:rsid w:val="00191C43"/>
    <w:rsid w:val="00191F72"/>
    <w:rsid w:val="00192156"/>
    <w:rsid w:val="0019230A"/>
    <w:rsid w:val="001924B0"/>
    <w:rsid w:val="00192510"/>
    <w:rsid w:val="00192D02"/>
    <w:rsid w:val="00192FDD"/>
    <w:rsid w:val="00192FF0"/>
    <w:rsid w:val="00193343"/>
    <w:rsid w:val="00193C17"/>
    <w:rsid w:val="00193C26"/>
    <w:rsid w:val="00193DE7"/>
    <w:rsid w:val="00194082"/>
    <w:rsid w:val="0019422C"/>
    <w:rsid w:val="0019448A"/>
    <w:rsid w:val="001946A1"/>
    <w:rsid w:val="00195118"/>
    <w:rsid w:val="00195184"/>
    <w:rsid w:val="00195290"/>
    <w:rsid w:val="00195788"/>
    <w:rsid w:val="00195799"/>
    <w:rsid w:val="00195916"/>
    <w:rsid w:val="00195D3B"/>
    <w:rsid w:val="00196023"/>
    <w:rsid w:val="00196790"/>
    <w:rsid w:val="001968E0"/>
    <w:rsid w:val="0019694D"/>
    <w:rsid w:val="00196AB0"/>
    <w:rsid w:val="00196AB7"/>
    <w:rsid w:val="00196D52"/>
    <w:rsid w:val="0019701E"/>
    <w:rsid w:val="00197ADB"/>
    <w:rsid w:val="00197D61"/>
    <w:rsid w:val="001A0145"/>
    <w:rsid w:val="001A0ED5"/>
    <w:rsid w:val="001A1035"/>
    <w:rsid w:val="001A10EC"/>
    <w:rsid w:val="001A135E"/>
    <w:rsid w:val="001A13EE"/>
    <w:rsid w:val="001A2206"/>
    <w:rsid w:val="001A23AF"/>
    <w:rsid w:val="001A2DC6"/>
    <w:rsid w:val="001A320C"/>
    <w:rsid w:val="001A3407"/>
    <w:rsid w:val="001A396F"/>
    <w:rsid w:val="001A4145"/>
    <w:rsid w:val="001A41C7"/>
    <w:rsid w:val="001A5275"/>
    <w:rsid w:val="001A568A"/>
    <w:rsid w:val="001A58F1"/>
    <w:rsid w:val="001A59FE"/>
    <w:rsid w:val="001A5FA1"/>
    <w:rsid w:val="001A68AC"/>
    <w:rsid w:val="001A69E5"/>
    <w:rsid w:val="001A6BC4"/>
    <w:rsid w:val="001A6C85"/>
    <w:rsid w:val="001A730E"/>
    <w:rsid w:val="001A7736"/>
    <w:rsid w:val="001A7929"/>
    <w:rsid w:val="001B0373"/>
    <w:rsid w:val="001B037C"/>
    <w:rsid w:val="001B03D5"/>
    <w:rsid w:val="001B0640"/>
    <w:rsid w:val="001B0750"/>
    <w:rsid w:val="001B0A13"/>
    <w:rsid w:val="001B0A19"/>
    <w:rsid w:val="001B0ADE"/>
    <w:rsid w:val="001B1422"/>
    <w:rsid w:val="001B15B2"/>
    <w:rsid w:val="001B1CA6"/>
    <w:rsid w:val="001B2137"/>
    <w:rsid w:val="001B2304"/>
    <w:rsid w:val="001B2CE3"/>
    <w:rsid w:val="001B2DFD"/>
    <w:rsid w:val="001B2E7B"/>
    <w:rsid w:val="001B2FA7"/>
    <w:rsid w:val="001B321F"/>
    <w:rsid w:val="001B32D4"/>
    <w:rsid w:val="001B3BBC"/>
    <w:rsid w:val="001B3F25"/>
    <w:rsid w:val="001B4122"/>
    <w:rsid w:val="001B4327"/>
    <w:rsid w:val="001B43C7"/>
    <w:rsid w:val="001B4AF0"/>
    <w:rsid w:val="001B4D7E"/>
    <w:rsid w:val="001B5187"/>
    <w:rsid w:val="001B576F"/>
    <w:rsid w:val="001B5BF7"/>
    <w:rsid w:val="001B6588"/>
    <w:rsid w:val="001B677A"/>
    <w:rsid w:val="001B7C4F"/>
    <w:rsid w:val="001B7DFD"/>
    <w:rsid w:val="001C0080"/>
    <w:rsid w:val="001C07AD"/>
    <w:rsid w:val="001C0D6C"/>
    <w:rsid w:val="001C142C"/>
    <w:rsid w:val="001C1574"/>
    <w:rsid w:val="001C158C"/>
    <w:rsid w:val="001C1F92"/>
    <w:rsid w:val="001C2563"/>
    <w:rsid w:val="001C2777"/>
    <w:rsid w:val="001C2BBB"/>
    <w:rsid w:val="001C2C64"/>
    <w:rsid w:val="001C2D41"/>
    <w:rsid w:val="001C3301"/>
    <w:rsid w:val="001C3465"/>
    <w:rsid w:val="001C3DDB"/>
    <w:rsid w:val="001C3E40"/>
    <w:rsid w:val="001C3F9C"/>
    <w:rsid w:val="001C40F0"/>
    <w:rsid w:val="001C4247"/>
    <w:rsid w:val="001C4B5C"/>
    <w:rsid w:val="001C5012"/>
    <w:rsid w:val="001C5184"/>
    <w:rsid w:val="001C51AA"/>
    <w:rsid w:val="001C51F1"/>
    <w:rsid w:val="001C5596"/>
    <w:rsid w:val="001C595B"/>
    <w:rsid w:val="001C5A01"/>
    <w:rsid w:val="001C5B97"/>
    <w:rsid w:val="001C5EFC"/>
    <w:rsid w:val="001C5F92"/>
    <w:rsid w:val="001C644D"/>
    <w:rsid w:val="001C65AF"/>
    <w:rsid w:val="001C6874"/>
    <w:rsid w:val="001C6B56"/>
    <w:rsid w:val="001C6BD8"/>
    <w:rsid w:val="001C6CA6"/>
    <w:rsid w:val="001C6F56"/>
    <w:rsid w:val="001C76D2"/>
    <w:rsid w:val="001C7869"/>
    <w:rsid w:val="001C79E1"/>
    <w:rsid w:val="001D03FA"/>
    <w:rsid w:val="001D09DC"/>
    <w:rsid w:val="001D0BD7"/>
    <w:rsid w:val="001D0D5F"/>
    <w:rsid w:val="001D1619"/>
    <w:rsid w:val="001D1BAD"/>
    <w:rsid w:val="001D1E7D"/>
    <w:rsid w:val="001D1F45"/>
    <w:rsid w:val="001D253F"/>
    <w:rsid w:val="001D2789"/>
    <w:rsid w:val="001D2D0D"/>
    <w:rsid w:val="001D31F5"/>
    <w:rsid w:val="001D34EE"/>
    <w:rsid w:val="001D3815"/>
    <w:rsid w:val="001D3979"/>
    <w:rsid w:val="001D3E6C"/>
    <w:rsid w:val="001D400D"/>
    <w:rsid w:val="001D412B"/>
    <w:rsid w:val="001D4260"/>
    <w:rsid w:val="001D454B"/>
    <w:rsid w:val="001D45F7"/>
    <w:rsid w:val="001D46B0"/>
    <w:rsid w:val="001D4A05"/>
    <w:rsid w:val="001D519B"/>
    <w:rsid w:val="001D54D6"/>
    <w:rsid w:val="001D5749"/>
    <w:rsid w:val="001D5A37"/>
    <w:rsid w:val="001D67C9"/>
    <w:rsid w:val="001D6FCE"/>
    <w:rsid w:val="001D7124"/>
    <w:rsid w:val="001D72D0"/>
    <w:rsid w:val="001D7C99"/>
    <w:rsid w:val="001D7CA2"/>
    <w:rsid w:val="001E0401"/>
    <w:rsid w:val="001E0A3C"/>
    <w:rsid w:val="001E0E93"/>
    <w:rsid w:val="001E0F27"/>
    <w:rsid w:val="001E1096"/>
    <w:rsid w:val="001E18ED"/>
    <w:rsid w:val="001E1ED7"/>
    <w:rsid w:val="001E1EDA"/>
    <w:rsid w:val="001E232E"/>
    <w:rsid w:val="001E28A5"/>
    <w:rsid w:val="001E28B4"/>
    <w:rsid w:val="001E2C9D"/>
    <w:rsid w:val="001E32CB"/>
    <w:rsid w:val="001E3415"/>
    <w:rsid w:val="001E3432"/>
    <w:rsid w:val="001E36DB"/>
    <w:rsid w:val="001E3B27"/>
    <w:rsid w:val="001E402A"/>
    <w:rsid w:val="001E421E"/>
    <w:rsid w:val="001E4480"/>
    <w:rsid w:val="001E46E8"/>
    <w:rsid w:val="001E4C3E"/>
    <w:rsid w:val="001E4F95"/>
    <w:rsid w:val="001E559B"/>
    <w:rsid w:val="001E5A87"/>
    <w:rsid w:val="001E5C94"/>
    <w:rsid w:val="001E6334"/>
    <w:rsid w:val="001E655D"/>
    <w:rsid w:val="001E6766"/>
    <w:rsid w:val="001E6D11"/>
    <w:rsid w:val="001E6F71"/>
    <w:rsid w:val="001E72E7"/>
    <w:rsid w:val="001E7638"/>
    <w:rsid w:val="001E77ED"/>
    <w:rsid w:val="001E7A20"/>
    <w:rsid w:val="001E7D37"/>
    <w:rsid w:val="001E7E95"/>
    <w:rsid w:val="001F02CC"/>
    <w:rsid w:val="001F052F"/>
    <w:rsid w:val="001F070F"/>
    <w:rsid w:val="001F0738"/>
    <w:rsid w:val="001F0791"/>
    <w:rsid w:val="001F0D14"/>
    <w:rsid w:val="001F0FAD"/>
    <w:rsid w:val="001F1603"/>
    <w:rsid w:val="001F16D1"/>
    <w:rsid w:val="001F2040"/>
    <w:rsid w:val="001F2689"/>
    <w:rsid w:val="001F26B6"/>
    <w:rsid w:val="001F29D7"/>
    <w:rsid w:val="001F2ADA"/>
    <w:rsid w:val="001F2C35"/>
    <w:rsid w:val="001F2E53"/>
    <w:rsid w:val="001F309A"/>
    <w:rsid w:val="001F3950"/>
    <w:rsid w:val="001F3B65"/>
    <w:rsid w:val="001F409F"/>
    <w:rsid w:val="001F4186"/>
    <w:rsid w:val="001F435B"/>
    <w:rsid w:val="001F448F"/>
    <w:rsid w:val="001F49DE"/>
    <w:rsid w:val="001F5BD3"/>
    <w:rsid w:val="001F644B"/>
    <w:rsid w:val="001F667C"/>
    <w:rsid w:val="001F6F13"/>
    <w:rsid w:val="001F6F4C"/>
    <w:rsid w:val="001F743B"/>
    <w:rsid w:val="001F7D03"/>
    <w:rsid w:val="00200156"/>
    <w:rsid w:val="002009C7"/>
    <w:rsid w:val="00200A89"/>
    <w:rsid w:val="00200E3A"/>
    <w:rsid w:val="002010D6"/>
    <w:rsid w:val="002013E1"/>
    <w:rsid w:val="0020171E"/>
    <w:rsid w:val="002017E1"/>
    <w:rsid w:val="00201B53"/>
    <w:rsid w:val="00201C5F"/>
    <w:rsid w:val="00202199"/>
    <w:rsid w:val="002021EC"/>
    <w:rsid w:val="0020220A"/>
    <w:rsid w:val="00202415"/>
    <w:rsid w:val="002025A1"/>
    <w:rsid w:val="002026A6"/>
    <w:rsid w:val="00202732"/>
    <w:rsid w:val="00202FB8"/>
    <w:rsid w:val="00202FD8"/>
    <w:rsid w:val="00203282"/>
    <w:rsid w:val="00203407"/>
    <w:rsid w:val="00203D78"/>
    <w:rsid w:val="002044FD"/>
    <w:rsid w:val="002045DE"/>
    <w:rsid w:val="00204990"/>
    <w:rsid w:val="00204ADB"/>
    <w:rsid w:val="00204D21"/>
    <w:rsid w:val="00204DC5"/>
    <w:rsid w:val="00204F04"/>
    <w:rsid w:val="00204F0F"/>
    <w:rsid w:val="002051CB"/>
    <w:rsid w:val="002053B1"/>
    <w:rsid w:val="00205BD6"/>
    <w:rsid w:val="00205E97"/>
    <w:rsid w:val="00206586"/>
    <w:rsid w:val="0020731A"/>
    <w:rsid w:val="00207C7C"/>
    <w:rsid w:val="00207E6B"/>
    <w:rsid w:val="00207E85"/>
    <w:rsid w:val="002100FA"/>
    <w:rsid w:val="0021037C"/>
    <w:rsid w:val="00210BBE"/>
    <w:rsid w:val="0021115B"/>
    <w:rsid w:val="002118DF"/>
    <w:rsid w:val="00211A95"/>
    <w:rsid w:val="00211C4C"/>
    <w:rsid w:val="00211CA5"/>
    <w:rsid w:val="00211E21"/>
    <w:rsid w:val="00211E39"/>
    <w:rsid w:val="00211F67"/>
    <w:rsid w:val="00212107"/>
    <w:rsid w:val="002127C0"/>
    <w:rsid w:val="00212F08"/>
    <w:rsid w:val="00212FE4"/>
    <w:rsid w:val="0021336B"/>
    <w:rsid w:val="00213B75"/>
    <w:rsid w:val="00214096"/>
    <w:rsid w:val="00214AD1"/>
    <w:rsid w:val="00215517"/>
    <w:rsid w:val="002157DA"/>
    <w:rsid w:val="00215A43"/>
    <w:rsid w:val="00215A81"/>
    <w:rsid w:val="00215DEA"/>
    <w:rsid w:val="00215EBF"/>
    <w:rsid w:val="0021619A"/>
    <w:rsid w:val="002165C3"/>
    <w:rsid w:val="00216669"/>
    <w:rsid w:val="00216F6B"/>
    <w:rsid w:val="002172DE"/>
    <w:rsid w:val="00217572"/>
    <w:rsid w:val="002178B8"/>
    <w:rsid w:val="00220143"/>
    <w:rsid w:val="00220208"/>
    <w:rsid w:val="00220470"/>
    <w:rsid w:val="002206B9"/>
    <w:rsid w:val="00221670"/>
    <w:rsid w:val="002216CF"/>
    <w:rsid w:val="00221DA3"/>
    <w:rsid w:val="00222359"/>
    <w:rsid w:val="002226CC"/>
    <w:rsid w:val="00222805"/>
    <w:rsid w:val="00222856"/>
    <w:rsid w:val="0022289D"/>
    <w:rsid w:val="00222918"/>
    <w:rsid w:val="00222BCC"/>
    <w:rsid w:val="002230A1"/>
    <w:rsid w:val="00223215"/>
    <w:rsid w:val="00223AF5"/>
    <w:rsid w:val="00223E0C"/>
    <w:rsid w:val="0022405B"/>
    <w:rsid w:val="002240EC"/>
    <w:rsid w:val="00224AE5"/>
    <w:rsid w:val="00224D58"/>
    <w:rsid w:val="00224E39"/>
    <w:rsid w:val="00225052"/>
    <w:rsid w:val="002258FA"/>
    <w:rsid w:val="00225BEB"/>
    <w:rsid w:val="002260C0"/>
    <w:rsid w:val="002260FC"/>
    <w:rsid w:val="00226973"/>
    <w:rsid w:val="00226F53"/>
    <w:rsid w:val="0023039D"/>
    <w:rsid w:val="0023071C"/>
    <w:rsid w:val="0023074D"/>
    <w:rsid w:val="002308D0"/>
    <w:rsid w:val="00230986"/>
    <w:rsid w:val="00230AFD"/>
    <w:rsid w:val="00231733"/>
    <w:rsid w:val="00231AB5"/>
    <w:rsid w:val="00231E3D"/>
    <w:rsid w:val="00231E3E"/>
    <w:rsid w:val="00232217"/>
    <w:rsid w:val="00232475"/>
    <w:rsid w:val="0023251D"/>
    <w:rsid w:val="00232B71"/>
    <w:rsid w:val="00233360"/>
    <w:rsid w:val="002339C5"/>
    <w:rsid w:val="00233AA5"/>
    <w:rsid w:val="00233D2E"/>
    <w:rsid w:val="0023402C"/>
    <w:rsid w:val="0023474E"/>
    <w:rsid w:val="00234A59"/>
    <w:rsid w:val="00234B9A"/>
    <w:rsid w:val="00235033"/>
    <w:rsid w:val="002352BB"/>
    <w:rsid w:val="002353FB"/>
    <w:rsid w:val="00235A7B"/>
    <w:rsid w:val="00235E9F"/>
    <w:rsid w:val="00236095"/>
    <w:rsid w:val="0023645B"/>
    <w:rsid w:val="00236DCD"/>
    <w:rsid w:val="002370C1"/>
    <w:rsid w:val="002372C5"/>
    <w:rsid w:val="00237700"/>
    <w:rsid w:val="002379DF"/>
    <w:rsid w:val="00237A1B"/>
    <w:rsid w:val="00237CEC"/>
    <w:rsid w:val="00237D7B"/>
    <w:rsid w:val="00237E54"/>
    <w:rsid w:val="00237FA5"/>
    <w:rsid w:val="00240210"/>
    <w:rsid w:val="00241BE0"/>
    <w:rsid w:val="0024219B"/>
    <w:rsid w:val="00242BD7"/>
    <w:rsid w:val="00242EE6"/>
    <w:rsid w:val="00242F90"/>
    <w:rsid w:val="002431F6"/>
    <w:rsid w:val="0024373E"/>
    <w:rsid w:val="00243780"/>
    <w:rsid w:val="0024434E"/>
    <w:rsid w:val="00244841"/>
    <w:rsid w:val="00244C96"/>
    <w:rsid w:val="00244D6F"/>
    <w:rsid w:val="00244F3D"/>
    <w:rsid w:val="00244F9C"/>
    <w:rsid w:val="002451E1"/>
    <w:rsid w:val="0024534B"/>
    <w:rsid w:val="00245826"/>
    <w:rsid w:val="00245A16"/>
    <w:rsid w:val="00245B03"/>
    <w:rsid w:val="00245CE8"/>
    <w:rsid w:val="00245D16"/>
    <w:rsid w:val="00245F2A"/>
    <w:rsid w:val="002462CD"/>
    <w:rsid w:val="0024641C"/>
    <w:rsid w:val="00246709"/>
    <w:rsid w:val="00246B1A"/>
    <w:rsid w:val="00246B3A"/>
    <w:rsid w:val="00246C3E"/>
    <w:rsid w:val="00246EDC"/>
    <w:rsid w:val="00247667"/>
    <w:rsid w:val="00247853"/>
    <w:rsid w:val="002500AA"/>
    <w:rsid w:val="002500F2"/>
    <w:rsid w:val="002503FD"/>
    <w:rsid w:val="0025072B"/>
    <w:rsid w:val="00250CB3"/>
    <w:rsid w:val="00250E47"/>
    <w:rsid w:val="0025130C"/>
    <w:rsid w:val="00251B29"/>
    <w:rsid w:val="00251B3E"/>
    <w:rsid w:val="00251C7D"/>
    <w:rsid w:val="00251CEF"/>
    <w:rsid w:val="00251D69"/>
    <w:rsid w:val="00252291"/>
    <w:rsid w:val="00252973"/>
    <w:rsid w:val="002529CD"/>
    <w:rsid w:val="00253207"/>
    <w:rsid w:val="0025334A"/>
    <w:rsid w:val="00253366"/>
    <w:rsid w:val="00253456"/>
    <w:rsid w:val="0025346F"/>
    <w:rsid w:val="00253699"/>
    <w:rsid w:val="00253B78"/>
    <w:rsid w:val="00253C34"/>
    <w:rsid w:val="00253C8A"/>
    <w:rsid w:val="00253F60"/>
    <w:rsid w:val="00254FE4"/>
    <w:rsid w:val="002550FC"/>
    <w:rsid w:val="002551C5"/>
    <w:rsid w:val="002559C9"/>
    <w:rsid w:val="00255B61"/>
    <w:rsid w:val="002560D3"/>
    <w:rsid w:val="002561DB"/>
    <w:rsid w:val="002564A2"/>
    <w:rsid w:val="002565FB"/>
    <w:rsid w:val="002568A7"/>
    <w:rsid w:val="00256B0C"/>
    <w:rsid w:val="002573E8"/>
    <w:rsid w:val="002573EC"/>
    <w:rsid w:val="002574BE"/>
    <w:rsid w:val="00257796"/>
    <w:rsid w:val="002579F1"/>
    <w:rsid w:val="00257AE4"/>
    <w:rsid w:val="00257B2E"/>
    <w:rsid w:val="002600F9"/>
    <w:rsid w:val="00260763"/>
    <w:rsid w:val="0026107D"/>
    <w:rsid w:val="0026114C"/>
    <w:rsid w:val="0026122C"/>
    <w:rsid w:val="002613C2"/>
    <w:rsid w:val="0026174F"/>
    <w:rsid w:val="00261A1C"/>
    <w:rsid w:val="002621C2"/>
    <w:rsid w:val="00262260"/>
    <w:rsid w:val="002622A0"/>
    <w:rsid w:val="002622C2"/>
    <w:rsid w:val="002622ED"/>
    <w:rsid w:val="00262744"/>
    <w:rsid w:val="0026297D"/>
    <w:rsid w:val="00262B94"/>
    <w:rsid w:val="00262D4B"/>
    <w:rsid w:val="00262FBA"/>
    <w:rsid w:val="0026366A"/>
    <w:rsid w:val="0026384A"/>
    <w:rsid w:val="00264E17"/>
    <w:rsid w:val="0026501E"/>
    <w:rsid w:val="0026575D"/>
    <w:rsid w:val="00266269"/>
    <w:rsid w:val="00266438"/>
    <w:rsid w:val="00266447"/>
    <w:rsid w:val="00266754"/>
    <w:rsid w:val="00266766"/>
    <w:rsid w:val="00266915"/>
    <w:rsid w:val="00266CF5"/>
    <w:rsid w:val="00266EF5"/>
    <w:rsid w:val="0026763F"/>
    <w:rsid w:val="00267F80"/>
    <w:rsid w:val="002701A3"/>
    <w:rsid w:val="002701B3"/>
    <w:rsid w:val="002708A0"/>
    <w:rsid w:val="00270996"/>
    <w:rsid w:val="00270BE1"/>
    <w:rsid w:val="00270F03"/>
    <w:rsid w:val="00271BB2"/>
    <w:rsid w:val="00272119"/>
    <w:rsid w:val="00272B90"/>
    <w:rsid w:val="00272E55"/>
    <w:rsid w:val="0027332F"/>
    <w:rsid w:val="0027347B"/>
    <w:rsid w:val="002742A9"/>
    <w:rsid w:val="00274315"/>
    <w:rsid w:val="00274731"/>
    <w:rsid w:val="002751A0"/>
    <w:rsid w:val="002764F8"/>
    <w:rsid w:val="00276CD3"/>
    <w:rsid w:val="00276F2B"/>
    <w:rsid w:val="00277595"/>
    <w:rsid w:val="00277727"/>
    <w:rsid w:val="002777C6"/>
    <w:rsid w:val="00277C83"/>
    <w:rsid w:val="00277E75"/>
    <w:rsid w:val="00277F2B"/>
    <w:rsid w:val="0028006B"/>
    <w:rsid w:val="00280340"/>
    <w:rsid w:val="00280403"/>
    <w:rsid w:val="00280567"/>
    <w:rsid w:val="0028058C"/>
    <w:rsid w:val="002807CE"/>
    <w:rsid w:val="0028110F"/>
    <w:rsid w:val="00281680"/>
    <w:rsid w:val="00281999"/>
    <w:rsid w:val="00281AB4"/>
    <w:rsid w:val="00281BDB"/>
    <w:rsid w:val="00281C23"/>
    <w:rsid w:val="0028223F"/>
    <w:rsid w:val="00282357"/>
    <w:rsid w:val="00282614"/>
    <w:rsid w:val="0028265D"/>
    <w:rsid w:val="00282DB0"/>
    <w:rsid w:val="00282E0A"/>
    <w:rsid w:val="002830E1"/>
    <w:rsid w:val="00283437"/>
    <w:rsid w:val="002835C9"/>
    <w:rsid w:val="00283817"/>
    <w:rsid w:val="0028388C"/>
    <w:rsid w:val="00283919"/>
    <w:rsid w:val="00283B1B"/>
    <w:rsid w:val="0028422C"/>
    <w:rsid w:val="0028429A"/>
    <w:rsid w:val="00284414"/>
    <w:rsid w:val="00285655"/>
    <w:rsid w:val="002858A7"/>
    <w:rsid w:val="00285B00"/>
    <w:rsid w:val="00285B69"/>
    <w:rsid w:val="00285EEB"/>
    <w:rsid w:val="00285F5C"/>
    <w:rsid w:val="00286233"/>
    <w:rsid w:val="00286A42"/>
    <w:rsid w:val="00286C93"/>
    <w:rsid w:val="0028762F"/>
    <w:rsid w:val="00287BCD"/>
    <w:rsid w:val="00290148"/>
    <w:rsid w:val="0029033A"/>
    <w:rsid w:val="00290F39"/>
    <w:rsid w:val="002910AD"/>
    <w:rsid w:val="00291189"/>
    <w:rsid w:val="0029150B"/>
    <w:rsid w:val="00291776"/>
    <w:rsid w:val="002919CA"/>
    <w:rsid w:val="00291A23"/>
    <w:rsid w:val="00291C3D"/>
    <w:rsid w:val="00292399"/>
    <w:rsid w:val="0029268D"/>
    <w:rsid w:val="002928F7"/>
    <w:rsid w:val="00292900"/>
    <w:rsid w:val="00292943"/>
    <w:rsid w:val="00292CA7"/>
    <w:rsid w:val="002931BA"/>
    <w:rsid w:val="00293312"/>
    <w:rsid w:val="00293787"/>
    <w:rsid w:val="00293BBB"/>
    <w:rsid w:val="00293D6E"/>
    <w:rsid w:val="00293F5C"/>
    <w:rsid w:val="002942CA"/>
    <w:rsid w:val="002942F1"/>
    <w:rsid w:val="002943C0"/>
    <w:rsid w:val="002955AF"/>
    <w:rsid w:val="00295A0B"/>
    <w:rsid w:val="00296368"/>
    <w:rsid w:val="00296539"/>
    <w:rsid w:val="00296B1D"/>
    <w:rsid w:val="00296BDD"/>
    <w:rsid w:val="00297667"/>
    <w:rsid w:val="0029796A"/>
    <w:rsid w:val="00297996"/>
    <w:rsid w:val="00297D29"/>
    <w:rsid w:val="00297EE3"/>
    <w:rsid w:val="00297F57"/>
    <w:rsid w:val="002A018E"/>
    <w:rsid w:val="002A0ABA"/>
    <w:rsid w:val="002A0F75"/>
    <w:rsid w:val="002A11DF"/>
    <w:rsid w:val="002A1593"/>
    <w:rsid w:val="002A1753"/>
    <w:rsid w:val="002A1CA0"/>
    <w:rsid w:val="002A20B7"/>
    <w:rsid w:val="002A261D"/>
    <w:rsid w:val="002A2D0A"/>
    <w:rsid w:val="002A3A32"/>
    <w:rsid w:val="002A3CA5"/>
    <w:rsid w:val="002A4068"/>
    <w:rsid w:val="002A4238"/>
    <w:rsid w:val="002A43BD"/>
    <w:rsid w:val="002A4722"/>
    <w:rsid w:val="002A4C15"/>
    <w:rsid w:val="002A4D08"/>
    <w:rsid w:val="002A51FB"/>
    <w:rsid w:val="002A5277"/>
    <w:rsid w:val="002A537F"/>
    <w:rsid w:val="002A5554"/>
    <w:rsid w:val="002A5679"/>
    <w:rsid w:val="002A5E94"/>
    <w:rsid w:val="002A5EE2"/>
    <w:rsid w:val="002A60E1"/>
    <w:rsid w:val="002A615E"/>
    <w:rsid w:val="002A6614"/>
    <w:rsid w:val="002A6858"/>
    <w:rsid w:val="002A6964"/>
    <w:rsid w:val="002A6C0D"/>
    <w:rsid w:val="002A7016"/>
    <w:rsid w:val="002A7449"/>
    <w:rsid w:val="002A788D"/>
    <w:rsid w:val="002A7A1B"/>
    <w:rsid w:val="002A7B4D"/>
    <w:rsid w:val="002A7E6B"/>
    <w:rsid w:val="002A7ED0"/>
    <w:rsid w:val="002A7EEB"/>
    <w:rsid w:val="002A7F9F"/>
    <w:rsid w:val="002B0012"/>
    <w:rsid w:val="002B0282"/>
    <w:rsid w:val="002B03B5"/>
    <w:rsid w:val="002B08FD"/>
    <w:rsid w:val="002B0906"/>
    <w:rsid w:val="002B0B47"/>
    <w:rsid w:val="002B0B64"/>
    <w:rsid w:val="002B109B"/>
    <w:rsid w:val="002B1161"/>
    <w:rsid w:val="002B145A"/>
    <w:rsid w:val="002B168A"/>
    <w:rsid w:val="002B204E"/>
    <w:rsid w:val="002B211D"/>
    <w:rsid w:val="002B23E2"/>
    <w:rsid w:val="002B2482"/>
    <w:rsid w:val="002B26A8"/>
    <w:rsid w:val="002B2A0F"/>
    <w:rsid w:val="002B2AF3"/>
    <w:rsid w:val="002B3431"/>
    <w:rsid w:val="002B3B40"/>
    <w:rsid w:val="002B3F4C"/>
    <w:rsid w:val="002B41E4"/>
    <w:rsid w:val="002B4530"/>
    <w:rsid w:val="002B4A55"/>
    <w:rsid w:val="002B4CF2"/>
    <w:rsid w:val="002B4D64"/>
    <w:rsid w:val="002B5291"/>
    <w:rsid w:val="002B5B8A"/>
    <w:rsid w:val="002B6170"/>
    <w:rsid w:val="002B619D"/>
    <w:rsid w:val="002B6673"/>
    <w:rsid w:val="002B6A67"/>
    <w:rsid w:val="002B6D9E"/>
    <w:rsid w:val="002B6E4E"/>
    <w:rsid w:val="002B6F24"/>
    <w:rsid w:val="002B73AB"/>
    <w:rsid w:val="002B75D1"/>
    <w:rsid w:val="002B7621"/>
    <w:rsid w:val="002B76BB"/>
    <w:rsid w:val="002B7865"/>
    <w:rsid w:val="002B787E"/>
    <w:rsid w:val="002B7C94"/>
    <w:rsid w:val="002B7CC6"/>
    <w:rsid w:val="002C04EC"/>
    <w:rsid w:val="002C0B38"/>
    <w:rsid w:val="002C13B6"/>
    <w:rsid w:val="002C13C7"/>
    <w:rsid w:val="002C15E6"/>
    <w:rsid w:val="002C1882"/>
    <w:rsid w:val="002C210E"/>
    <w:rsid w:val="002C2310"/>
    <w:rsid w:val="002C2F5F"/>
    <w:rsid w:val="002C3194"/>
    <w:rsid w:val="002C439A"/>
    <w:rsid w:val="002C4774"/>
    <w:rsid w:val="002C4B63"/>
    <w:rsid w:val="002C54FD"/>
    <w:rsid w:val="002C5DCC"/>
    <w:rsid w:val="002C5E04"/>
    <w:rsid w:val="002C63DE"/>
    <w:rsid w:val="002C665C"/>
    <w:rsid w:val="002C6739"/>
    <w:rsid w:val="002C6807"/>
    <w:rsid w:val="002C6F5C"/>
    <w:rsid w:val="002C791E"/>
    <w:rsid w:val="002C7E70"/>
    <w:rsid w:val="002D022D"/>
    <w:rsid w:val="002D0267"/>
    <w:rsid w:val="002D02C5"/>
    <w:rsid w:val="002D0591"/>
    <w:rsid w:val="002D0830"/>
    <w:rsid w:val="002D0D57"/>
    <w:rsid w:val="002D0D87"/>
    <w:rsid w:val="002D1650"/>
    <w:rsid w:val="002D170D"/>
    <w:rsid w:val="002D1BF1"/>
    <w:rsid w:val="002D1F09"/>
    <w:rsid w:val="002D2D27"/>
    <w:rsid w:val="002D3461"/>
    <w:rsid w:val="002D34DC"/>
    <w:rsid w:val="002D364D"/>
    <w:rsid w:val="002D3840"/>
    <w:rsid w:val="002D41E7"/>
    <w:rsid w:val="002D4264"/>
    <w:rsid w:val="002D43F8"/>
    <w:rsid w:val="002D485D"/>
    <w:rsid w:val="002D4AD7"/>
    <w:rsid w:val="002D4D26"/>
    <w:rsid w:val="002D52A2"/>
    <w:rsid w:val="002D55E1"/>
    <w:rsid w:val="002D5814"/>
    <w:rsid w:val="002D5BD8"/>
    <w:rsid w:val="002D5BFC"/>
    <w:rsid w:val="002D5FBA"/>
    <w:rsid w:val="002D625F"/>
    <w:rsid w:val="002D6ABF"/>
    <w:rsid w:val="002D6B70"/>
    <w:rsid w:val="002D6C3F"/>
    <w:rsid w:val="002D7216"/>
    <w:rsid w:val="002D7D59"/>
    <w:rsid w:val="002D7F57"/>
    <w:rsid w:val="002E16FE"/>
    <w:rsid w:val="002E188F"/>
    <w:rsid w:val="002E19B0"/>
    <w:rsid w:val="002E1A41"/>
    <w:rsid w:val="002E2389"/>
    <w:rsid w:val="002E290A"/>
    <w:rsid w:val="002E314C"/>
    <w:rsid w:val="002E34A0"/>
    <w:rsid w:val="002E3717"/>
    <w:rsid w:val="002E3BCF"/>
    <w:rsid w:val="002E3E55"/>
    <w:rsid w:val="002E3FEB"/>
    <w:rsid w:val="002E4855"/>
    <w:rsid w:val="002E4BDB"/>
    <w:rsid w:val="002E5108"/>
    <w:rsid w:val="002E5F18"/>
    <w:rsid w:val="002E6010"/>
    <w:rsid w:val="002E626D"/>
    <w:rsid w:val="002E63C3"/>
    <w:rsid w:val="002E65BA"/>
    <w:rsid w:val="002E697F"/>
    <w:rsid w:val="002E70A4"/>
    <w:rsid w:val="002E75B9"/>
    <w:rsid w:val="002E7CFD"/>
    <w:rsid w:val="002E7D73"/>
    <w:rsid w:val="002E7E01"/>
    <w:rsid w:val="002F01F6"/>
    <w:rsid w:val="002F06F9"/>
    <w:rsid w:val="002F0743"/>
    <w:rsid w:val="002F1188"/>
    <w:rsid w:val="002F11B8"/>
    <w:rsid w:val="002F1307"/>
    <w:rsid w:val="002F13FB"/>
    <w:rsid w:val="002F18F7"/>
    <w:rsid w:val="002F1B53"/>
    <w:rsid w:val="002F22A2"/>
    <w:rsid w:val="002F2674"/>
    <w:rsid w:val="002F28BC"/>
    <w:rsid w:val="002F2975"/>
    <w:rsid w:val="002F3150"/>
    <w:rsid w:val="002F365D"/>
    <w:rsid w:val="002F37F0"/>
    <w:rsid w:val="002F3856"/>
    <w:rsid w:val="002F3915"/>
    <w:rsid w:val="002F3983"/>
    <w:rsid w:val="002F3F19"/>
    <w:rsid w:val="002F419E"/>
    <w:rsid w:val="002F4274"/>
    <w:rsid w:val="002F45A9"/>
    <w:rsid w:val="002F49AE"/>
    <w:rsid w:val="002F4A85"/>
    <w:rsid w:val="002F4F3F"/>
    <w:rsid w:val="002F51FC"/>
    <w:rsid w:val="002F56AC"/>
    <w:rsid w:val="002F58F6"/>
    <w:rsid w:val="002F5F0B"/>
    <w:rsid w:val="002F64AE"/>
    <w:rsid w:val="002F68FF"/>
    <w:rsid w:val="002F69C5"/>
    <w:rsid w:val="002F6B52"/>
    <w:rsid w:val="002F6BA7"/>
    <w:rsid w:val="002F6BDC"/>
    <w:rsid w:val="002F6BFC"/>
    <w:rsid w:val="002F6FAB"/>
    <w:rsid w:val="002F700E"/>
    <w:rsid w:val="002F7268"/>
    <w:rsid w:val="002F7540"/>
    <w:rsid w:val="002F7AE0"/>
    <w:rsid w:val="003002FA"/>
    <w:rsid w:val="003003CF"/>
    <w:rsid w:val="003018B8"/>
    <w:rsid w:val="00302871"/>
    <w:rsid w:val="00302C2D"/>
    <w:rsid w:val="00302E77"/>
    <w:rsid w:val="00302F76"/>
    <w:rsid w:val="003035DB"/>
    <w:rsid w:val="00303895"/>
    <w:rsid w:val="00303A93"/>
    <w:rsid w:val="00303AB8"/>
    <w:rsid w:val="00303C4B"/>
    <w:rsid w:val="00303E46"/>
    <w:rsid w:val="0030410F"/>
    <w:rsid w:val="0030422E"/>
    <w:rsid w:val="003049B7"/>
    <w:rsid w:val="00304C95"/>
    <w:rsid w:val="00304C99"/>
    <w:rsid w:val="00304D8F"/>
    <w:rsid w:val="003052B4"/>
    <w:rsid w:val="00305A4B"/>
    <w:rsid w:val="00305D9B"/>
    <w:rsid w:val="00306286"/>
    <w:rsid w:val="00306F71"/>
    <w:rsid w:val="00307C20"/>
    <w:rsid w:val="00307FAB"/>
    <w:rsid w:val="00310535"/>
    <w:rsid w:val="00311B38"/>
    <w:rsid w:val="00311CC9"/>
    <w:rsid w:val="00312146"/>
    <w:rsid w:val="003121AC"/>
    <w:rsid w:val="003125E2"/>
    <w:rsid w:val="00312BF6"/>
    <w:rsid w:val="00312D3F"/>
    <w:rsid w:val="00312EED"/>
    <w:rsid w:val="0031329C"/>
    <w:rsid w:val="003135DF"/>
    <w:rsid w:val="00313A11"/>
    <w:rsid w:val="00313DC8"/>
    <w:rsid w:val="00313E8F"/>
    <w:rsid w:val="00313ED7"/>
    <w:rsid w:val="0031417F"/>
    <w:rsid w:val="00314490"/>
    <w:rsid w:val="0031453B"/>
    <w:rsid w:val="00314871"/>
    <w:rsid w:val="003148F4"/>
    <w:rsid w:val="00314A8F"/>
    <w:rsid w:val="00314AE2"/>
    <w:rsid w:val="00314BE5"/>
    <w:rsid w:val="00315073"/>
    <w:rsid w:val="0031521C"/>
    <w:rsid w:val="003158DA"/>
    <w:rsid w:val="00316217"/>
    <w:rsid w:val="00316D94"/>
    <w:rsid w:val="00316E9E"/>
    <w:rsid w:val="00316FE2"/>
    <w:rsid w:val="00317279"/>
    <w:rsid w:val="003173EF"/>
    <w:rsid w:val="00317E81"/>
    <w:rsid w:val="003201D6"/>
    <w:rsid w:val="0032034B"/>
    <w:rsid w:val="003207C7"/>
    <w:rsid w:val="00320A49"/>
    <w:rsid w:val="00321318"/>
    <w:rsid w:val="003213AD"/>
    <w:rsid w:val="00321453"/>
    <w:rsid w:val="00322492"/>
    <w:rsid w:val="00322619"/>
    <w:rsid w:val="00322996"/>
    <w:rsid w:val="003229FA"/>
    <w:rsid w:val="00323455"/>
    <w:rsid w:val="003239B8"/>
    <w:rsid w:val="00323A70"/>
    <w:rsid w:val="00324386"/>
    <w:rsid w:val="00324703"/>
    <w:rsid w:val="00324768"/>
    <w:rsid w:val="003247DE"/>
    <w:rsid w:val="00324E1F"/>
    <w:rsid w:val="00325891"/>
    <w:rsid w:val="00325BD1"/>
    <w:rsid w:val="00325C59"/>
    <w:rsid w:val="003262B8"/>
    <w:rsid w:val="00326331"/>
    <w:rsid w:val="003265CB"/>
    <w:rsid w:val="00326961"/>
    <w:rsid w:val="00326B78"/>
    <w:rsid w:val="00326C7C"/>
    <w:rsid w:val="00326D5A"/>
    <w:rsid w:val="003277AE"/>
    <w:rsid w:val="00327C6B"/>
    <w:rsid w:val="00327CCC"/>
    <w:rsid w:val="00327DAC"/>
    <w:rsid w:val="00330442"/>
    <w:rsid w:val="003304A7"/>
    <w:rsid w:val="003306F8"/>
    <w:rsid w:val="00330D02"/>
    <w:rsid w:val="00331AEE"/>
    <w:rsid w:val="00331B3B"/>
    <w:rsid w:val="00331EF8"/>
    <w:rsid w:val="00332469"/>
    <w:rsid w:val="00332AFA"/>
    <w:rsid w:val="00332B72"/>
    <w:rsid w:val="00332D62"/>
    <w:rsid w:val="0033344B"/>
    <w:rsid w:val="00334079"/>
    <w:rsid w:val="0033423E"/>
    <w:rsid w:val="0033441F"/>
    <w:rsid w:val="003346A3"/>
    <w:rsid w:val="00334AA0"/>
    <w:rsid w:val="00334E81"/>
    <w:rsid w:val="00334F6A"/>
    <w:rsid w:val="00335124"/>
    <w:rsid w:val="003353AC"/>
    <w:rsid w:val="003355B8"/>
    <w:rsid w:val="00335945"/>
    <w:rsid w:val="00335FEB"/>
    <w:rsid w:val="0033625E"/>
    <w:rsid w:val="00336900"/>
    <w:rsid w:val="00336F69"/>
    <w:rsid w:val="0033707A"/>
    <w:rsid w:val="003373E9"/>
    <w:rsid w:val="00337A94"/>
    <w:rsid w:val="00337B38"/>
    <w:rsid w:val="00337B7E"/>
    <w:rsid w:val="00337BEA"/>
    <w:rsid w:val="00337DDA"/>
    <w:rsid w:val="003402C1"/>
    <w:rsid w:val="003403E3"/>
    <w:rsid w:val="003405D7"/>
    <w:rsid w:val="003409F2"/>
    <w:rsid w:val="00341041"/>
    <w:rsid w:val="003413DF"/>
    <w:rsid w:val="0034224D"/>
    <w:rsid w:val="00342268"/>
    <w:rsid w:val="00342502"/>
    <w:rsid w:val="00342D14"/>
    <w:rsid w:val="00343045"/>
    <w:rsid w:val="00343523"/>
    <w:rsid w:val="00343D0E"/>
    <w:rsid w:val="003443B0"/>
    <w:rsid w:val="003445A3"/>
    <w:rsid w:val="00344D2B"/>
    <w:rsid w:val="00345993"/>
    <w:rsid w:val="00345CE4"/>
    <w:rsid w:val="00345D08"/>
    <w:rsid w:val="00345ECD"/>
    <w:rsid w:val="003462F8"/>
    <w:rsid w:val="00346FD6"/>
    <w:rsid w:val="0034702C"/>
    <w:rsid w:val="00350C3F"/>
    <w:rsid w:val="0035104C"/>
    <w:rsid w:val="00351071"/>
    <w:rsid w:val="003519E9"/>
    <w:rsid w:val="00351E30"/>
    <w:rsid w:val="00352543"/>
    <w:rsid w:val="00352601"/>
    <w:rsid w:val="0035286E"/>
    <w:rsid w:val="003528CD"/>
    <w:rsid w:val="003528FF"/>
    <w:rsid w:val="00352E09"/>
    <w:rsid w:val="00352E33"/>
    <w:rsid w:val="00352E81"/>
    <w:rsid w:val="00353266"/>
    <w:rsid w:val="003535A9"/>
    <w:rsid w:val="00353791"/>
    <w:rsid w:val="0035420C"/>
    <w:rsid w:val="00354D5B"/>
    <w:rsid w:val="00354F2F"/>
    <w:rsid w:val="0035563D"/>
    <w:rsid w:val="00355641"/>
    <w:rsid w:val="00355771"/>
    <w:rsid w:val="003557FD"/>
    <w:rsid w:val="0035594A"/>
    <w:rsid w:val="003560B4"/>
    <w:rsid w:val="003565FF"/>
    <w:rsid w:val="0035663B"/>
    <w:rsid w:val="00356CD7"/>
    <w:rsid w:val="00356DA8"/>
    <w:rsid w:val="00356F64"/>
    <w:rsid w:val="00357DFE"/>
    <w:rsid w:val="00360248"/>
    <w:rsid w:val="00361345"/>
    <w:rsid w:val="00361560"/>
    <w:rsid w:val="00361CC7"/>
    <w:rsid w:val="00361FF4"/>
    <w:rsid w:val="0036296A"/>
    <w:rsid w:val="00362D9A"/>
    <w:rsid w:val="0036328D"/>
    <w:rsid w:val="00363486"/>
    <w:rsid w:val="00363973"/>
    <w:rsid w:val="00363A14"/>
    <w:rsid w:val="00363ABF"/>
    <w:rsid w:val="00363E9F"/>
    <w:rsid w:val="0036400C"/>
    <w:rsid w:val="0036447B"/>
    <w:rsid w:val="0036455D"/>
    <w:rsid w:val="00364880"/>
    <w:rsid w:val="00364E40"/>
    <w:rsid w:val="0036522E"/>
    <w:rsid w:val="003654C0"/>
    <w:rsid w:val="003654C8"/>
    <w:rsid w:val="00365566"/>
    <w:rsid w:val="0036560E"/>
    <w:rsid w:val="00365C28"/>
    <w:rsid w:val="00365C8A"/>
    <w:rsid w:val="00365DAE"/>
    <w:rsid w:val="00365EE7"/>
    <w:rsid w:val="0036616C"/>
    <w:rsid w:val="003663BF"/>
    <w:rsid w:val="00366913"/>
    <w:rsid w:val="00367576"/>
    <w:rsid w:val="00367C3D"/>
    <w:rsid w:val="00370469"/>
    <w:rsid w:val="003708FD"/>
    <w:rsid w:val="00370A27"/>
    <w:rsid w:val="00370E4E"/>
    <w:rsid w:val="00370EAA"/>
    <w:rsid w:val="00371561"/>
    <w:rsid w:val="003718D4"/>
    <w:rsid w:val="00371A8A"/>
    <w:rsid w:val="00372AD3"/>
    <w:rsid w:val="00372EB6"/>
    <w:rsid w:val="00373249"/>
    <w:rsid w:val="00373316"/>
    <w:rsid w:val="003737B0"/>
    <w:rsid w:val="00374836"/>
    <w:rsid w:val="003748D3"/>
    <w:rsid w:val="00374B85"/>
    <w:rsid w:val="003750DE"/>
    <w:rsid w:val="003754D7"/>
    <w:rsid w:val="0037589E"/>
    <w:rsid w:val="00375987"/>
    <w:rsid w:val="003764DE"/>
    <w:rsid w:val="00376AFA"/>
    <w:rsid w:val="00376DDD"/>
    <w:rsid w:val="00376DFC"/>
    <w:rsid w:val="00376EC4"/>
    <w:rsid w:val="00376F22"/>
    <w:rsid w:val="00376FB6"/>
    <w:rsid w:val="00377018"/>
    <w:rsid w:val="0037777E"/>
    <w:rsid w:val="00377D02"/>
    <w:rsid w:val="00377E4B"/>
    <w:rsid w:val="00380567"/>
    <w:rsid w:val="0038056F"/>
    <w:rsid w:val="00380C65"/>
    <w:rsid w:val="00380DD9"/>
    <w:rsid w:val="00380DE7"/>
    <w:rsid w:val="00381313"/>
    <w:rsid w:val="0038147C"/>
    <w:rsid w:val="0038220B"/>
    <w:rsid w:val="0038267D"/>
    <w:rsid w:val="003827D8"/>
    <w:rsid w:val="0038290E"/>
    <w:rsid w:val="00382F32"/>
    <w:rsid w:val="00383713"/>
    <w:rsid w:val="00384276"/>
    <w:rsid w:val="003845B1"/>
    <w:rsid w:val="0038467B"/>
    <w:rsid w:val="00384C1B"/>
    <w:rsid w:val="00384DCD"/>
    <w:rsid w:val="00384EB5"/>
    <w:rsid w:val="0038510D"/>
    <w:rsid w:val="00385215"/>
    <w:rsid w:val="003852B8"/>
    <w:rsid w:val="003853DC"/>
    <w:rsid w:val="00385513"/>
    <w:rsid w:val="003855D9"/>
    <w:rsid w:val="003856FF"/>
    <w:rsid w:val="00385F74"/>
    <w:rsid w:val="003862FA"/>
    <w:rsid w:val="0038655B"/>
    <w:rsid w:val="00386A38"/>
    <w:rsid w:val="00386A3B"/>
    <w:rsid w:val="00386B08"/>
    <w:rsid w:val="00386B48"/>
    <w:rsid w:val="003873CE"/>
    <w:rsid w:val="003874AF"/>
    <w:rsid w:val="003877A5"/>
    <w:rsid w:val="00387A69"/>
    <w:rsid w:val="00387D87"/>
    <w:rsid w:val="00387EE0"/>
    <w:rsid w:val="0039020A"/>
    <w:rsid w:val="00390958"/>
    <w:rsid w:val="00390D79"/>
    <w:rsid w:val="0039101D"/>
    <w:rsid w:val="00391472"/>
    <w:rsid w:val="00391F64"/>
    <w:rsid w:val="003931CD"/>
    <w:rsid w:val="003934C9"/>
    <w:rsid w:val="0039378D"/>
    <w:rsid w:val="00393860"/>
    <w:rsid w:val="0039436C"/>
    <w:rsid w:val="00394836"/>
    <w:rsid w:val="00394AB0"/>
    <w:rsid w:val="00394B82"/>
    <w:rsid w:val="00394BBA"/>
    <w:rsid w:val="00394E45"/>
    <w:rsid w:val="00395158"/>
    <w:rsid w:val="0039533E"/>
    <w:rsid w:val="0039541F"/>
    <w:rsid w:val="003958AC"/>
    <w:rsid w:val="00395D1C"/>
    <w:rsid w:val="003963B4"/>
    <w:rsid w:val="00396462"/>
    <w:rsid w:val="00396CCC"/>
    <w:rsid w:val="00396D75"/>
    <w:rsid w:val="00396DEC"/>
    <w:rsid w:val="0039734C"/>
    <w:rsid w:val="00397438"/>
    <w:rsid w:val="00397A00"/>
    <w:rsid w:val="00397C85"/>
    <w:rsid w:val="003A0470"/>
    <w:rsid w:val="003A06EB"/>
    <w:rsid w:val="003A0847"/>
    <w:rsid w:val="003A09DF"/>
    <w:rsid w:val="003A0A03"/>
    <w:rsid w:val="003A0EEC"/>
    <w:rsid w:val="003A139F"/>
    <w:rsid w:val="003A153C"/>
    <w:rsid w:val="003A15E8"/>
    <w:rsid w:val="003A1624"/>
    <w:rsid w:val="003A18F8"/>
    <w:rsid w:val="003A2156"/>
    <w:rsid w:val="003A22AA"/>
    <w:rsid w:val="003A2A67"/>
    <w:rsid w:val="003A2E89"/>
    <w:rsid w:val="003A30CC"/>
    <w:rsid w:val="003A3296"/>
    <w:rsid w:val="003A3375"/>
    <w:rsid w:val="003A3573"/>
    <w:rsid w:val="003A36E0"/>
    <w:rsid w:val="003A3E5E"/>
    <w:rsid w:val="003A3F17"/>
    <w:rsid w:val="003A3F6D"/>
    <w:rsid w:val="003A47A6"/>
    <w:rsid w:val="003A4930"/>
    <w:rsid w:val="003A4E37"/>
    <w:rsid w:val="003A5289"/>
    <w:rsid w:val="003A53D0"/>
    <w:rsid w:val="003A603D"/>
    <w:rsid w:val="003A6409"/>
    <w:rsid w:val="003A64F2"/>
    <w:rsid w:val="003A6687"/>
    <w:rsid w:val="003A673C"/>
    <w:rsid w:val="003A6C68"/>
    <w:rsid w:val="003A71AD"/>
    <w:rsid w:val="003A74DD"/>
    <w:rsid w:val="003A7690"/>
    <w:rsid w:val="003A78F0"/>
    <w:rsid w:val="003A7F24"/>
    <w:rsid w:val="003B0601"/>
    <w:rsid w:val="003B0A91"/>
    <w:rsid w:val="003B0B3A"/>
    <w:rsid w:val="003B10EE"/>
    <w:rsid w:val="003B20F2"/>
    <w:rsid w:val="003B22E8"/>
    <w:rsid w:val="003B2D7B"/>
    <w:rsid w:val="003B2E6A"/>
    <w:rsid w:val="003B2FCF"/>
    <w:rsid w:val="003B308A"/>
    <w:rsid w:val="003B32D3"/>
    <w:rsid w:val="003B3A46"/>
    <w:rsid w:val="003B3E63"/>
    <w:rsid w:val="003B42F1"/>
    <w:rsid w:val="003B42FE"/>
    <w:rsid w:val="003B4C5A"/>
    <w:rsid w:val="003B52E7"/>
    <w:rsid w:val="003B5878"/>
    <w:rsid w:val="003B5931"/>
    <w:rsid w:val="003B5A5F"/>
    <w:rsid w:val="003B5D14"/>
    <w:rsid w:val="003B5D3D"/>
    <w:rsid w:val="003B5F05"/>
    <w:rsid w:val="003B6027"/>
    <w:rsid w:val="003B60E7"/>
    <w:rsid w:val="003B63DD"/>
    <w:rsid w:val="003B6412"/>
    <w:rsid w:val="003B6E64"/>
    <w:rsid w:val="003B7058"/>
    <w:rsid w:val="003B72B9"/>
    <w:rsid w:val="003B73C6"/>
    <w:rsid w:val="003B7414"/>
    <w:rsid w:val="003B7A38"/>
    <w:rsid w:val="003C03CB"/>
    <w:rsid w:val="003C16FD"/>
    <w:rsid w:val="003C1E65"/>
    <w:rsid w:val="003C1FEB"/>
    <w:rsid w:val="003C2174"/>
    <w:rsid w:val="003C25BD"/>
    <w:rsid w:val="003C2828"/>
    <w:rsid w:val="003C2984"/>
    <w:rsid w:val="003C29D8"/>
    <w:rsid w:val="003C2D84"/>
    <w:rsid w:val="003C30FD"/>
    <w:rsid w:val="003C330B"/>
    <w:rsid w:val="003C3426"/>
    <w:rsid w:val="003C390D"/>
    <w:rsid w:val="003C416B"/>
    <w:rsid w:val="003C420C"/>
    <w:rsid w:val="003C487B"/>
    <w:rsid w:val="003C4B61"/>
    <w:rsid w:val="003C4E2C"/>
    <w:rsid w:val="003C53CA"/>
    <w:rsid w:val="003C549A"/>
    <w:rsid w:val="003C57B5"/>
    <w:rsid w:val="003C5930"/>
    <w:rsid w:val="003C5AA2"/>
    <w:rsid w:val="003C5ADB"/>
    <w:rsid w:val="003C5CAE"/>
    <w:rsid w:val="003C5DC6"/>
    <w:rsid w:val="003C5F6B"/>
    <w:rsid w:val="003C6529"/>
    <w:rsid w:val="003C66C8"/>
    <w:rsid w:val="003C675C"/>
    <w:rsid w:val="003C6810"/>
    <w:rsid w:val="003C6853"/>
    <w:rsid w:val="003C6AFB"/>
    <w:rsid w:val="003C7169"/>
    <w:rsid w:val="003C720A"/>
    <w:rsid w:val="003C75A6"/>
    <w:rsid w:val="003C779B"/>
    <w:rsid w:val="003C7AB5"/>
    <w:rsid w:val="003D016E"/>
    <w:rsid w:val="003D089E"/>
    <w:rsid w:val="003D0EBF"/>
    <w:rsid w:val="003D169B"/>
    <w:rsid w:val="003D1CB1"/>
    <w:rsid w:val="003D2171"/>
    <w:rsid w:val="003D26A1"/>
    <w:rsid w:val="003D3459"/>
    <w:rsid w:val="003D3A89"/>
    <w:rsid w:val="003D437B"/>
    <w:rsid w:val="003D4603"/>
    <w:rsid w:val="003D4A99"/>
    <w:rsid w:val="003D4B7D"/>
    <w:rsid w:val="003D4D24"/>
    <w:rsid w:val="003D4F01"/>
    <w:rsid w:val="003D5139"/>
    <w:rsid w:val="003D513F"/>
    <w:rsid w:val="003D514C"/>
    <w:rsid w:val="003D5229"/>
    <w:rsid w:val="003D5325"/>
    <w:rsid w:val="003D5642"/>
    <w:rsid w:val="003D5678"/>
    <w:rsid w:val="003D5D41"/>
    <w:rsid w:val="003D5EDB"/>
    <w:rsid w:val="003D67ED"/>
    <w:rsid w:val="003D688D"/>
    <w:rsid w:val="003D6A46"/>
    <w:rsid w:val="003D6D5D"/>
    <w:rsid w:val="003D6FF5"/>
    <w:rsid w:val="003D7023"/>
    <w:rsid w:val="003D736D"/>
    <w:rsid w:val="003E008F"/>
    <w:rsid w:val="003E03F3"/>
    <w:rsid w:val="003E05BC"/>
    <w:rsid w:val="003E0AFF"/>
    <w:rsid w:val="003E0B5D"/>
    <w:rsid w:val="003E0C18"/>
    <w:rsid w:val="003E1187"/>
    <w:rsid w:val="003E11CE"/>
    <w:rsid w:val="003E1312"/>
    <w:rsid w:val="003E153F"/>
    <w:rsid w:val="003E1B75"/>
    <w:rsid w:val="003E1C08"/>
    <w:rsid w:val="003E1E55"/>
    <w:rsid w:val="003E1F9B"/>
    <w:rsid w:val="003E289D"/>
    <w:rsid w:val="003E2A7F"/>
    <w:rsid w:val="003E2B7D"/>
    <w:rsid w:val="003E2DB5"/>
    <w:rsid w:val="003E3182"/>
    <w:rsid w:val="003E320A"/>
    <w:rsid w:val="003E3285"/>
    <w:rsid w:val="003E395D"/>
    <w:rsid w:val="003E3BE6"/>
    <w:rsid w:val="003E475E"/>
    <w:rsid w:val="003E536D"/>
    <w:rsid w:val="003E5F27"/>
    <w:rsid w:val="003E5F76"/>
    <w:rsid w:val="003E5FF5"/>
    <w:rsid w:val="003E6017"/>
    <w:rsid w:val="003E6032"/>
    <w:rsid w:val="003E6266"/>
    <w:rsid w:val="003E646D"/>
    <w:rsid w:val="003E65F4"/>
    <w:rsid w:val="003E65F9"/>
    <w:rsid w:val="003E68F7"/>
    <w:rsid w:val="003E6B14"/>
    <w:rsid w:val="003E7129"/>
    <w:rsid w:val="003E7AF7"/>
    <w:rsid w:val="003E7B7E"/>
    <w:rsid w:val="003F012E"/>
    <w:rsid w:val="003F02AE"/>
    <w:rsid w:val="003F0B45"/>
    <w:rsid w:val="003F0C18"/>
    <w:rsid w:val="003F16D0"/>
    <w:rsid w:val="003F1712"/>
    <w:rsid w:val="003F1800"/>
    <w:rsid w:val="003F1BD4"/>
    <w:rsid w:val="003F1DB3"/>
    <w:rsid w:val="003F1F41"/>
    <w:rsid w:val="003F22F4"/>
    <w:rsid w:val="003F24C4"/>
    <w:rsid w:val="003F271C"/>
    <w:rsid w:val="003F3237"/>
    <w:rsid w:val="003F35AA"/>
    <w:rsid w:val="003F3C9F"/>
    <w:rsid w:val="003F4016"/>
    <w:rsid w:val="003F4635"/>
    <w:rsid w:val="003F4AE4"/>
    <w:rsid w:val="003F515B"/>
    <w:rsid w:val="003F52A7"/>
    <w:rsid w:val="003F5576"/>
    <w:rsid w:val="003F558D"/>
    <w:rsid w:val="003F58B6"/>
    <w:rsid w:val="003F58CA"/>
    <w:rsid w:val="003F62FE"/>
    <w:rsid w:val="003F6966"/>
    <w:rsid w:val="003F6A00"/>
    <w:rsid w:val="003F6EB8"/>
    <w:rsid w:val="003F70D4"/>
    <w:rsid w:val="003F711A"/>
    <w:rsid w:val="003F7571"/>
    <w:rsid w:val="003F7743"/>
    <w:rsid w:val="003F77FE"/>
    <w:rsid w:val="0040079B"/>
    <w:rsid w:val="004008BF"/>
    <w:rsid w:val="00400F6A"/>
    <w:rsid w:val="00401188"/>
    <w:rsid w:val="00401233"/>
    <w:rsid w:val="00401571"/>
    <w:rsid w:val="00401635"/>
    <w:rsid w:val="00401F23"/>
    <w:rsid w:val="00401FED"/>
    <w:rsid w:val="00402122"/>
    <w:rsid w:val="0040258E"/>
    <w:rsid w:val="00402A3E"/>
    <w:rsid w:val="004036BB"/>
    <w:rsid w:val="00403A24"/>
    <w:rsid w:val="00404066"/>
    <w:rsid w:val="00404690"/>
    <w:rsid w:val="00404D37"/>
    <w:rsid w:val="00404D87"/>
    <w:rsid w:val="00404EED"/>
    <w:rsid w:val="0040532D"/>
    <w:rsid w:val="00405EC9"/>
    <w:rsid w:val="004060F3"/>
    <w:rsid w:val="0040686D"/>
    <w:rsid w:val="00406DF1"/>
    <w:rsid w:val="00406F99"/>
    <w:rsid w:val="0040709C"/>
    <w:rsid w:val="004073B0"/>
    <w:rsid w:val="004073F2"/>
    <w:rsid w:val="004074E7"/>
    <w:rsid w:val="0040757C"/>
    <w:rsid w:val="00410891"/>
    <w:rsid w:val="004108E2"/>
    <w:rsid w:val="00410A58"/>
    <w:rsid w:val="00410A7A"/>
    <w:rsid w:val="00410F25"/>
    <w:rsid w:val="00411922"/>
    <w:rsid w:val="004119A7"/>
    <w:rsid w:val="00411C16"/>
    <w:rsid w:val="00411C6F"/>
    <w:rsid w:val="004126C0"/>
    <w:rsid w:val="00412955"/>
    <w:rsid w:val="0041389A"/>
    <w:rsid w:val="00413E7D"/>
    <w:rsid w:val="00414043"/>
    <w:rsid w:val="004140B6"/>
    <w:rsid w:val="0041419F"/>
    <w:rsid w:val="004141C9"/>
    <w:rsid w:val="00414EF5"/>
    <w:rsid w:val="00414FAD"/>
    <w:rsid w:val="004151CE"/>
    <w:rsid w:val="0041542B"/>
    <w:rsid w:val="00415955"/>
    <w:rsid w:val="00416DBE"/>
    <w:rsid w:val="00416F0F"/>
    <w:rsid w:val="00417314"/>
    <w:rsid w:val="00417368"/>
    <w:rsid w:val="004176F6"/>
    <w:rsid w:val="0041770D"/>
    <w:rsid w:val="00417C2B"/>
    <w:rsid w:val="00417C87"/>
    <w:rsid w:val="004200CA"/>
    <w:rsid w:val="00420258"/>
    <w:rsid w:val="00420CE4"/>
    <w:rsid w:val="00421145"/>
    <w:rsid w:val="00421157"/>
    <w:rsid w:val="00421533"/>
    <w:rsid w:val="00421584"/>
    <w:rsid w:val="0042169D"/>
    <w:rsid w:val="004218DF"/>
    <w:rsid w:val="00422122"/>
    <w:rsid w:val="004226C1"/>
    <w:rsid w:val="004226DF"/>
    <w:rsid w:val="00422BEB"/>
    <w:rsid w:val="00422F56"/>
    <w:rsid w:val="00423215"/>
    <w:rsid w:val="00423376"/>
    <w:rsid w:val="00423C1A"/>
    <w:rsid w:val="004240E0"/>
    <w:rsid w:val="0042427E"/>
    <w:rsid w:val="004243A4"/>
    <w:rsid w:val="004243CB"/>
    <w:rsid w:val="0042446B"/>
    <w:rsid w:val="004248BF"/>
    <w:rsid w:val="00424BB2"/>
    <w:rsid w:val="00424C58"/>
    <w:rsid w:val="00424F20"/>
    <w:rsid w:val="00425193"/>
    <w:rsid w:val="00425468"/>
    <w:rsid w:val="004256CC"/>
    <w:rsid w:val="00425A22"/>
    <w:rsid w:val="00425C05"/>
    <w:rsid w:val="004261C8"/>
    <w:rsid w:val="0042626A"/>
    <w:rsid w:val="0042647B"/>
    <w:rsid w:val="004264E5"/>
    <w:rsid w:val="004268E7"/>
    <w:rsid w:val="00426A3E"/>
    <w:rsid w:val="00426DEB"/>
    <w:rsid w:val="00427455"/>
    <w:rsid w:val="00427BB9"/>
    <w:rsid w:val="00427C16"/>
    <w:rsid w:val="00427C51"/>
    <w:rsid w:val="004304C5"/>
    <w:rsid w:val="0043074E"/>
    <w:rsid w:val="0043075C"/>
    <w:rsid w:val="004308AC"/>
    <w:rsid w:val="00430A3D"/>
    <w:rsid w:val="00430E5A"/>
    <w:rsid w:val="00430F9B"/>
    <w:rsid w:val="00430FD0"/>
    <w:rsid w:val="00431155"/>
    <w:rsid w:val="004313A8"/>
    <w:rsid w:val="0043165E"/>
    <w:rsid w:val="00431E0E"/>
    <w:rsid w:val="004321FA"/>
    <w:rsid w:val="0043240C"/>
    <w:rsid w:val="004325E0"/>
    <w:rsid w:val="00432737"/>
    <w:rsid w:val="00432808"/>
    <w:rsid w:val="00432853"/>
    <w:rsid w:val="004330D2"/>
    <w:rsid w:val="0043323B"/>
    <w:rsid w:val="004332C1"/>
    <w:rsid w:val="00433460"/>
    <w:rsid w:val="00433629"/>
    <w:rsid w:val="00433719"/>
    <w:rsid w:val="0043373A"/>
    <w:rsid w:val="00433E67"/>
    <w:rsid w:val="0043402C"/>
    <w:rsid w:val="004346B6"/>
    <w:rsid w:val="00434A9D"/>
    <w:rsid w:val="00434D98"/>
    <w:rsid w:val="0043500D"/>
    <w:rsid w:val="0043502B"/>
    <w:rsid w:val="004352AB"/>
    <w:rsid w:val="004361CE"/>
    <w:rsid w:val="00436270"/>
    <w:rsid w:val="00436382"/>
    <w:rsid w:val="00436392"/>
    <w:rsid w:val="004366DC"/>
    <w:rsid w:val="0043681D"/>
    <w:rsid w:val="00436E61"/>
    <w:rsid w:val="00437635"/>
    <w:rsid w:val="004377B6"/>
    <w:rsid w:val="004379E8"/>
    <w:rsid w:val="00437B67"/>
    <w:rsid w:val="004403ED"/>
    <w:rsid w:val="004405D7"/>
    <w:rsid w:val="00440706"/>
    <w:rsid w:val="00440E4D"/>
    <w:rsid w:val="00441009"/>
    <w:rsid w:val="0044116C"/>
    <w:rsid w:val="00441528"/>
    <w:rsid w:val="00441B08"/>
    <w:rsid w:val="00441C83"/>
    <w:rsid w:val="00442603"/>
    <w:rsid w:val="00442832"/>
    <w:rsid w:val="004430A6"/>
    <w:rsid w:val="0044333A"/>
    <w:rsid w:val="004433FA"/>
    <w:rsid w:val="00443FE9"/>
    <w:rsid w:val="00444069"/>
    <w:rsid w:val="0044406E"/>
    <w:rsid w:val="00444163"/>
    <w:rsid w:val="00444461"/>
    <w:rsid w:val="0044464D"/>
    <w:rsid w:val="004447C7"/>
    <w:rsid w:val="00444A99"/>
    <w:rsid w:val="004450C0"/>
    <w:rsid w:val="004452C7"/>
    <w:rsid w:val="00445600"/>
    <w:rsid w:val="00445CA6"/>
    <w:rsid w:val="00445D80"/>
    <w:rsid w:val="00445E19"/>
    <w:rsid w:val="00445EA6"/>
    <w:rsid w:val="00445FFF"/>
    <w:rsid w:val="00446AF2"/>
    <w:rsid w:val="00446D61"/>
    <w:rsid w:val="00446F7D"/>
    <w:rsid w:val="00447ECF"/>
    <w:rsid w:val="00447F9A"/>
    <w:rsid w:val="004506E5"/>
    <w:rsid w:val="00450752"/>
    <w:rsid w:val="0045136B"/>
    <w:rsid w:val="00451463"/>
    <w:rsid w:val="00451567"/>
    <w:rsid w:val="00451A6A"/>
    <w:rsid w:val="00451C00"/>
    <w:rsid w:val="00451C07"/>
    <w:rsid w:val="00451DEA"/>
    <w:rsid w:val="00451F6C"/>
    <w:rsid w:val="00452436"/>
    <w:rsid w:val="0045246F"/>
    <w:rsid w:val="00452496"/>
    <w:rsid w:val="0045274D"/>
    <w:rsid w:val="004528C5"/>
    <w:rsid w:val="004528D3"/>
    <w:rsid w:val="00452CCF"/>
    <w:rsid w:val="004530CF"/>
    <w:rsid w:val="00453386"/>
    <w:rsid w:val="00453462"/>
    <w:rsid w:val="00454058"/>
    <w:rsid w:val="004548D4"/>
    <w:rsid w:val="00454BCF"/>
    <w:rsid w:val="00454D7A"/>
    <w:rsid w:val="004555D6"/>
    <w:rsid w:val="00455AAF"/>
    <w:rsid w:val="00455F93"/>
    <w:rsid w:val="004561FB"/>
    <w:rsid w:val="00456A9C"/>
    <w:rsid w:val="00456F49"/>
    <w:rsid w:val="00456F73"/>
    <w:rsid w:val="004572F4"/>
    <w:rsid w:val="00457654"/>
    <w:rsid w:val="00457954"/>
    <w:rsid w:val="0045795C"/>
    <w:rsid w:val="00457A87"/>
    <w:rsid w:val="00457CE6"/>
    <w:rsid w:val="00457D93"/>
    <w:rsid w:val="00460322"/>
    <w:rsid w:val="00460965"/>
    <w:rsid w:val="00460A97"/>
    <w:rsid w:val="00460CBA"/>
    <w:rsid w:val="00460CDA"/>
    <w:rsid w:val="00460D58"/>
    <w:rsid w:val="00460FF3"/>
    <w:rsid w:val="00461500"/>
    <w:rsid w:val="00461C71"/>
    <w:rsid w:val="00461CF3"/>
    <w:rsid w:val="00461DC3"/>
    <w:rsid w:val="00461DD9"/>
    <w:rsid w:val="00461F98"/>
    <w:rsid w:val="00461FF0"/>
    <w:rsid w:val="0046247B"/>
    <w:rsid w:val="00463B6D"/>
    <w:rsid w:val="00463F25"/>
    <w:rsid w:val="00464004"/>
    <w:rsid w:val="00464101"/>
    <w:rsid w:val="00464539"/>
    <w:rsid w:val="0046466E"/>
    <w:rsid w:val="004649F1"/>
    <w:rsid w:val="00464A43"/>
    <w:rsid w:val="00464C6A"/>
    <w:rsid w:val="00464D29"/>
    <w:rsid w:val="00464D64"/>
    <w:rsid w:val="00465207"/>
    <w:rsid w:val="0046531C"/>
    <w:rsid w:val="004655F6"/>
    <w:rsid w:val="004659AA"/>
    <w:rsid w:val="00465AC0"/>
    <w:rsid w:val="00465EFA"/>
    <w:rsid w:val="00466104"/>
    <w:rsid w:val="00466795"/>
    <w:rsid w:val="00466A01"/>
    <w:rsid w:val="00466A0E"/>
    <w:rsid w:val="00466EA5"/>
    <w:rsid w:val="0046751A"/>
    <w:rsid w:val="00467C77"/>
    <w:rsid w:val="004702B1"/>
    <w:rsid w:val="004702F2"/>
    <w:rsid w:val="00470691"/>
    <w:rsid w:val="004715AC"/>
    <w:rsid w:val="004715F3"/>
    <w:rsid w:val="00471E0D"/>
    <w:rsid w:val="004724DD"/>
    <w:rsid w:val="00472589"/>
    <w:rsid w:val="00472A4E"/>
    <w:rsid w:val="00472BFE"/>
    <w:rsid w:val="00472EA2"/>
    <w:rsid w:val="00472F21"/>
    <w:rsid w:val="0047304C"/>
    <w:rsid w:val="00473555"/>
    <w:rsid w:val="00473576"/>
    <w:rsid w:val="004737E3"/>
    <w:rsid w:val="0047383A"/>
    <w:rsid w:val="00473A04"/>
    <w:rsid w:val="00473A42"/>
    <w:rsid w:val="00473E21"/>
    <w:rsid w:val="00474673"/>
    <w:rsid w:val="0047484B"/>
    <w:rsid w:val="00474959"/>
    <w:rsid w:val="004749B3"/>
    <w:rsid w:val="00474C4D"/>
    <w:rsid w:val="0047505A"/>
    <w:rsid w:val="00475BB5"/>
    <w:rsid w:val="00475C37"/>
    <w:rsid w:val="00475F0B"/>
    <w:rsid w:val="00476668"/>
    <w:rsid w:val="00476971"/>
    <w:rsid w:val="00476AD7"/>
    <w:rsid w:val="0047707F"/>
    <w:rsid w:val="004774E6"/>
    <w:rsid w:val="0047793B"/>
    <w:rsid w:val="00477AA6"/>
    <w:rsid w:val="00480BA1"/>
    <w:rsid w:val="00480DA0"/>
    <w:rsid w:val="00480DB9"/>
    <w:rsid w:val="0048198C"/>
    <w:rsid w:val="00481B06"/>
    <w:rsid w:val="00481B89"/>
    <w:rsid w:val="00482E90"/>
    <w:rsid w:val="00483301"/>
    <w:rsid w:val="004833AB"/>
    <w:rsid w:val="00483616"/>
    <w:rsid w:val="0048361F"/>
    <w:rsid w:val="004836A6"/>
    <w:rsid w:val="00483804"/>
    <w:rsid w:val="004839D9"/>
    <w:rsid w:val="004840B7"/>
    <w:rsid w:val="0048428C"/>
    <w:rsid w:val="00484496"/>
    <w:rsid w:val="004844F9"/>
    <w:rsid w:val="00484505"/>
    <w:rsid w:val="00484661"/>
    <w:rsid w:val="00484817"/>
    <w:rsid w:val="00484B3C"/>
    <w:rsid w:val="00484BB8"/>
    <w:rsid w:val="00485259"/>
    <w:rsid w:val="00485269"/>
    <w:rsid w:val="00485C3B"/>
    <w:rsid w:val="00485DED"/>
    <w:rsid w:val="00485F7E"/>
    <w:rsid w:val="0048606A"/>
    <w:rsid w:val="00486256"/>
    <w:rsid w:val="004864AB"/>
    <w:rsid w:val="00486712"/>
    <w:rsid w:val="00486AE0"/>
    <w:rsid w:val="00486FF3"/>
    <w:rsid w:val="004874DB"/>
    <w:rsid w:val="0048788C"/>
    <w:rsid w:val="004878E1"/>
    <w:rsid w:val="00490073"/>
    <w:rsid w:val="004901D1"/>
    <w:rsid w:val="004902A2"/>
    <w:rsid w:val="00490391"/>
    <w:rsid w:val="004904F9"/>
    <w:rsid w:val="004908D3"/>
    <w:rsid w:val="00490DDD"/>
    <w:rsid w:val="00490F3B"/>
    <w:rsid w:val="00490FE7"/>
    <w:rsid w:val="00491141"/>
    <w:rsid w:val="004911CA"/>
    <w:rsid w:val="00491214"/>
    <w:rsid w:val="00491730"/>
    <w:rsid w:val="00491B0F"/>
    <w:rsid w:val="004921A3"/>
    <w:rsid w:val="00492415"/>
    <w:rsid w:val="00492506"/>
    <w:rsid w:val="00492C43"/>
    <w:rsid w:val="00492C64"/>
    <w:rsid w:val="00492CF7"/>
    <w:rsid w:val="00493396"/>
    <w:rsid w:val="0049363D"/>
    <w:rsid w:val="00493BBD"/>
    <w:rsid w:val="00493FAA"/>
    <w:rsid w:val="004940FD"/>
    <w:rsid w:val="00494AC6"/>
    <w:rsid w:val="00494C13"/>
    <w:rsid w:val="00494E5C"/>
    <w:rsid w:val="00495398"/>
    <w:rsid w:val="00495680"/>
    <w:rsid w:val="00495922"/>
    <w:rsid w:val="00495D46"/>
    <w:rsid w:val="00495FA1"/>
    <w:rsid w:val="00495FFD"/>
    <w:rsid w:val="0049611D"/>
    <w:rsid w:val="004961FB"/>
    <w:rsid w:val="004967AA"/>
    <w:rsid w:val="00496A86"/>
    <w:rsid w:val="00496E52"/>
    <w:rsid w:val="00497206"/>
    <w:rsid w:val="00497615"/>
    <w:rsid w:val="0049772E"/>
    <w:rsid w:val="00497BC2"/>
    <w:rsid w:val="00497E3F"/>
    <w:rsid w:val="00497EF2"/>
    <w:rsid w:val="004A043D"/>
    <w:rsid w:val="004A07B5"/>
    <w:rsid w:val="004A0ADB"/>
    <w:rsid w:val="004A0D0A"/>
    <w:rsid w:val="004A0EDE"/>
    <w:rsid w:val="004A119A"/>
    <w:rsid w:val="004A1388"/>
    <w:rsid w:val="004A14BA"/>
    <w:rsid w:val="004A1831"/>
    <w:rsid w:val="004A1D13"/>
    <w:rsid w:val="004A1DD3"/>
    <w:rsid w:val="004A223C"/>
    <w:rsid w:val="004A2999"/>
    <w:rsid w:val="004A30EA"/>
    <w:rsid w:val="004A37EA"/>
    <w:rsid w:val="004A390F"/>
    <w:rsid w:val="004A39A8"/>
    <w:rsid w:val="004A4076"/>
    <w:rsid w:val="004A43A1"/>
    <w:rsid w:val="004A444E"/>
    <w:rsid w:val="004A4C81"/>
    <w:rsid w:val="004A4E18"/>
    <w:rsid w:val="004A4F46"/>
    <w:rsid w:val="004A5D6D"/>
    <w:rsid w:val="004A6149"/>
    <w:rsid w:val="004A64D7"/>
    <w:rsid w:val="004A64D8"/>
    <w:rsid w:val="004A65E9"/>
    <w:rsid w:val="004A662A"/>
    <w:rsid w:val="004A6A62"/>
    <w:rsid w:val="004A6A65"/>
    <w:rsid w:val="004A6C65"/>
    <w:rsid w:val="004A713A"/>
    <w:rsid w:val="004A75F1"/>
    <w:rsid w:val="004A7807"/>
    <w:rsid w:val="004A7D2B"/>
    <w:rsid w:val="004A7EB6"/>
    <w:rsid w:val="004B011A"/>
    <w:rsid w:val="004B0482"/>
    <w:rsid w:val="004B070D"/>
    <w:rsid w:val="004B0867"/>
    <w:rsid w:val="004B0AC2"/>
    <w:rsid w:val="004B0C78"/>
    <w:rsid w:val="004B0F29"/>
    <w:rsid w:val="004B1355"/>
    <w:rsid w:val="004B1514"/>
    <w:rsid w:val="004B1BB2"/>
    <w:rsid w:val="004B1D45"/>
    <w:rsid w:val="004B1FBE"/>
    <w:rsid w:val="004B2258"/>
    <w:rsid w:val="004B2291"/>
    <w:rsid w:val="004B23D7"/>
    <w:rsid w:val="004B26B1"/>
    <w:rsid w:val="004B2DAD"/>
    <w:rsid w:val="004B2DAE"/>
    <w:rsid w:val="004B2F87"/>
    <w:rsid w:val="004B32A9"/>
    <w:rsid w:val="004B3571"/>
    <w:rsid w:val="004B381A"/>
    <w:rsid w:val="004B3932"/>
    <w:rsid w:val="004B39C5"/>
    <w:rsid w:val="004B3AFD"/>
    <w:rsid w:val="004B40BF"/>
    <w:rsid w:val="004B44A2"/>
    <w:rsid w:val="004B4A11"/>
    <w:rsid w:val="004B4A35"/>
    <w:rsid w:val="004B4CE7"/>
    <w:rsid w:val="004B4FC7"/>
    <w:rsid w:val="004B50CD"/>
    <w:rsid w:val="004B57A4"/>
    <w:rsid w:val="004B5947"/>
    <w:rsid w:val="004B5D01"/>
    <w:rsid w:val="004B628C"/>
    <w:rsid w:val="004B66CB"/>
    <w:rsid w:val="004B6B36"/>
    <w:rsid w:val="004B6EEE"/>
    <w:rsid w:val="004B6F09"/>
    <w:rsid w:val="004B7005"/>
    <w:rsid w:val="004B7442"/>
    <w:rsid w:val="004B769F"/>
    <w:rsid w:val="004C06B9"/>
    <w:rsid w:val="004C0705"/>
    <w:rsid w:val="004C0EAE"/>
    <w:rsid w:val="004C10B0"/>
    <w:rsid w:val="004C15D1"/>
    <w:rsid w:val="004C1695"/>
    <w:rsid w:val="004C196A"/>
    <w:rsid w:val="004C1AF1"/>
    <w:rsid w:val="004C1C90"/>
    <w:rsid w:val="004C1FF1"/>
    <w:rsid w:val="004C242D"/>
    <w:rsid w:val="004C2628"/>
    <w:rsid w:val="004C2A33"/>
    <w:rsid w:val="004C2AC5"/>
    <w:rsid w:val="004C3553"/>
    <w:rsid w:val="004C3A8C"/>
    <w:rsid w:val="004C3DA8"/>
    <w:rsid w:val="004C417A"/>
    <w:rsid w:val="004C44CC"/>
    <w:rsid w:val="004C4746"/>
    <w:rsid w:val="004C47B0"/>
    <w:rsid w:val="004C4FA4"/>
    <w:rsid w:val="004C4FFB"/>
    <w:rsid w:val="004C59F6"/>
    <w:rsid w:val="004C5D0B"/>
    <w:rsid w:val="004C5E88"/>
    <w:rsid w:val="004C600F"/>
    <w:rsid w:val="004C629D"/>
    <w:rsid w:val="004C65C6"/>
    <w:rsid w:val="004C6A5F"/>
    <w:rsid w:val="004C6EE0"/>
    <w:rsid w:val="004C75C7"/>
    <w:rsid w:val="004C75F7"/>
    <w:rsid w:val="004C769E"/>
    <w:rsid w:val="004D0069"/>
    <w:rsid w:val="004D0759"/>
    <w:rsid w:val="004D08E4"/>
    <w:rsid w:val="004D097A"/>
    <w:rsid w:val="004D0C1B"/>
    <w:rsid w:val="004D0F1D"/>
    <w:rsid w:val="004D1374"/>
    <w:rsid w:val="004D198D"/>
    <w:rsid w:val="004D1D4A"/>
    <w:rsid w:val="004D2036"/>
    <w:rsid w:val="004D2077"/>
    <w:rsid w:val="004D2216"/>
    <w:rsid w:val="004D2417"/>
    <w:rsid w:val="004D256D"/>
    <w:rsid w:val="004D25BD"/>
    <w:rsid w:val="004D25E1"/>
    <w:rsid w:val="004D29C6"/>
    <w:rsid w:val="004D2B54"/>
    <w:rsid w:val="004D2BAF"/>
    <w:rsid w:val="004D2D04"/>
    <w:rsid w:val="004D2E23"/>
    <w:rsid w:val="004D2EF7"/>
    <w:rsid w:val="004D322C"/>
    <w:rsid w:val="004D354A"/>
    <w:rsid w:val="004D3CD8"/>
    <w:rsid w:val="004D3ECB"/>
    <w:rsid w:val="004D42F8"/>
    <w:rsid w:val="004D47B0"/>
    <w:rsid w:val="004D4A5C"/>
    <w:rsid w:val="004D4BC6"/>
    <w:rsid w:val="004D51AF"/>
    <w:rsid w:val="004D53C8"/>
    <w:rsid w:val="004D550F"/>
    <w:rsid w:val="004D5583"/>
    <w:rsid w:val="004D55F4"/>
    <w:rsid w:val="004D57E2"/>
    <w:rsid w:val="004D5A00"/>
    <w:rsid w:val="004D6005"/>
    <w:rsid w:val="004D674E"/>
    <w:rsid w:val="004D6871"/>
    <w:rsid w:val="004D68A8"/>
    <w:rsid w:val="004D6AF4"/>
    <w:rsid w:val="004D7069"/>
    <w:rsid w:val="004D7120"/>
    <w:rsid w:val="004D7470"/>
    <w:rsid w:val="004D78BF"/>
    <w:rsid w:val="004D7C4F"/>
    <w:rsid w:val="004D7C9D"/>
    <w:rsid w:val="004D7CDA"/>
    <w:rsid w:val="004D7EDC"/>
    <w:rsid w:val="004E0149"/>
    <w:rsid w:val="004E02A4"/>
    <w:rsid w:val="004E03E3"/>
    <w:rsid w:val="004E07C9"/>
    <w:rsid w:val="004E0BBE"/>
    <w:rsid w:val="004E15DC"/>
    <w:rsid w:val="004E17D0"/>
    <w:rsid w:val="004E19A8"/>
    <w:rsid w:val="004E270C"/>
    <w:rsid w:val="004E2F98"/>
    <w:rsid w:val="004E38E8"/>
    <w:rsid w:val="004E4C0A"/>
    <w:rsid w:val="004E4D3F"/>
    <w:rsid w:val="004E4EBB"/>
    <w:rsid w:val="004E51AC"/>
    <w:rsid w:val="004E53B0"/>
    <w:rsid w:val="004E55F1"/>
    <w:rsid w:val="004E5616"/>
    <w:rsid w:val="004E5BB6"/>
    <w:rsid w:val="004E64E3"/>
    <w:rsid w:val="004E6886"/>
    <w:rsid w:val="004E68A7"/>
    <w:rsid w:val="004E6F0F"/>
    <w:rsid w:val="004E6F77"/>
    <w:rsid w:val="004E708D"/>
    <w:rsid w:val="004E729A"/>
    <w:rsid w:val="004E754A"/>
    <w:rsid w:val="004E792A"/>
    <w:rsid w:val="004E7A89"/>
    <w:rsid w:val="004F05E7"/>
    <w:rsid w:val="004F08F7"/>
    <w:rsid w:val="004F08F9"/>
    <w:rsid w:val="004F0EF8"/>
    <w:rsid w:val="004F1378"/>
    <w:rsid w:val="004F1B40"/>
    <w:rsid w:val="004F1BE6"/>
    <w:rsid w:val="004F1FD1"/>
    <w:rsid w:val="004F255D"/>
    <w:rsid w:val="004F259D"/>
    <w:rsid w:val="004F279A"/>
    <w:rsid w:val="004F292C"/>
    <w:rsid w:val="004F2AA6"/>
    <w:rsid w:val="004F2CE6"/>
    <w:rsid w:val="004F2D08"/>
    <w:rsid w:val="004F3383"/>
    <w:rsid w:val="004F38B6"/>
    <w:rsid w:val="004F3D36"/>
    <w:rsid w:val="004F3DD4"/>
    <w:rsid w:val="004F406E"/>
    <w:rsid w:val="004F411C"/>
    <w:rsid w:val="004F4146"/>
    <w:rsid w:val="004F4174"/>
    <w:rsid w:val="004F4391"/>
    <w:rsid w:val="004F4408"/>
    <w:rsid w:val="004F4875"/>
    <w:rsid w:val="004F50A4"/>
    <w:rsid w:val="004F5121"/>
    <w:rsid w:val="004F5219"/>
    <w:rsid w:val="004F5227"/>
    <w:rsid w:val="004F5598"/>
    <w:rsid w:val="004F57ED"/>
    <w:rsid w:val="004F5BA9"/>
    <w:rsid w:val="004F600F"/>
    <w:rsid w:val="004F65B0"/>
    <w:rsid w:val="004F66BF"/>
    <w:rsid w:val="004F69A9"/>
    <w:rsid w:val="004F69DB"/>
    <w:rsid w:val="004F6B1E"/>
    <w:rsid w:val="004F6B2F"/>
    <w:rsid w:val="004F6DF7"/>
    <w:rsid w:val="004F6FC9"/>
    <w:rsid w:val="004F75BB"/>
    <w:rsid w:val="004F7ADB"/>
    <w:rsid w:val="00500056"/>
    <w:rsid w:val="0050044E"/>
    <w:rsid w:val="005008F7"/>
    <w:rsid w:val="00500C58"/>
    <w:rsid w:val="00501269"/>
    <w:rsid w:val="00501544"/>
    <w:rsid w:val="005017E0"/>
    <w:rsid w:val="00501834"/>
    <w:rsid w:val="00501A3D"/>
    <w:rsid w:val="00501A81"/>
    <w:rsid w:val="005022B5"/>
    <w:rsid w:val="00502516"/>
    <w:rsid w:val="005029C1"/>
    <w:rsid w:val="00502D9B"/>
    <w:rsid w:val="00503550"/>
    <w:rsid w:val="00503ABF"/>
    <w:rsid w:val="00503AD6"/>
    <w:rsid w:val="00503D62"/>
    <w:rsid w:val="00504339"/>
    <w:rsid w:val="005047D0"/>
    <w:rsid w:val="005049E6"/>
    <w:rsid w:val="00504B1F"/>
    <w:rsid w:val="00504C1E"/>
    <w:rsid w:val="005050DE"/>
    <w:rsid w:val="00505364"/>
    <w:rsid w:val="00505602"/>
    <w:rsid w:val="00505C25"/>
    <w:rsid w:val="00506627"/>
    <w:rsid w:val="00506968"/>
    <w:rsid w:val="00506C38"/>
    <w:rsid w:val="00506F08"/>
    <w:rsid w:val="00507122"/>
    <w:rsid w:val="00507718"/>
    <w:rsid w:val="00507856"/>
    <w:rsid w:val="005101F9"/>
    <w:rsid w:val="00510520"/>
    <w:rsid w:val="00510AA4"/>
    <w:rsid w:val="00511EA3"/>
    <w:rsid w:val="00512C6C"/>
    <w:rsid w:val="005132F6"/>
    <w:rsid w:val="0051354C"/>
    <w:rsid w:val="005136A1"/>
    <w:rsid w:val="00514290"/>
    <w:rsid w:val="00514378"/>
    <w:rsid w:val="0051440A"/>
    <w:rsid w:val="005149C5"/>
    <w:rsid w:val="00514B04"/>
    <w:rsid w:val="00514B2C"/>
    <w:rsid w:val="00514EAF"/>
    <w:rsid w:val="005162A5"/>
    <w:rsid w:val="0051644C"/>
    <w:rsid w:val="00516681"/>
    <w:rsid w:val="005166ED"/>
    <w:rsid w:val="00516754"/>
    <w:rsid w:val="00516981"/>
    <w:rsid w:val="00516CE2"/>
    <w:rsid w:val="00516E43"/>
    <w:rsid w:val="00516E7B"/>
    <w:rsid w:val="005171E9"/>
    <w:rsid w:val="00517750"/>
    <w:rsid w:val="00517804"/>
    <w:rsid w:val="00517ECC"/>
    <w:rsid w:val="00520081"/>
    <w:rsid w:val="00520104"/>
    <w:rsid w:val="005203EE"/>
    <w:rsid w:val="005218F3"/>
    <w:rsid w:val="0052215B"/>
    <w:rsid w:val="005222BE"/>
    <w:rsid w:val="00522A88"/>
    <w:rsid w:val="00522FF1"/>
    <w:rsid w:val="00523557"/>
    <w:rsid w:val="00523E8D"/>
    <w:rsid w:val="005242D5"/>
    <w:rsid w:val="00524305"/>
    <w:rsid w:val="0052436D"/>
    <w:rsid w:val="0052439A"/>
    <w:rsid w:val="0052451A"/>
    <w:rsid w:val="00524589"/>
    <w:rsid w:val="00524653"/>
    <w:rsid w:val="005246A0"/>
    <w:rsid w:val="005246B7"/>
    <w:rsid w:val="00524CBA"/>
    <w:rsid w:val="00524FEC"/>
    <w:rsid w:val="005259F2"/>
    <w:rsid w:val="00525E6C"/>
    <w:rsid w:val="00526223"/>
    <w:rsid w:val="0052663D"/>
    <w:rsid w:val="00526C76"/>
    <w:rsid w:val="00526CD0"/>
    <w:rsid w:val="00526E4D"/>
    <w:rsid w:val="005270D0"/>
    <w:rsid w:val="00527D01"/>
    <w:rsid w:val="00527D3E"/>
    <w:rsid w:val="00527F93"/>
    <w:rsid w:val="00530045"/>
    <w:rsid w:val="005303A3"/>
    <w:rsid w:val="00530466"/>
    <w:rsid w:val="00530509"/>
    <w:rsid w:val="00530E2D"/>
    <w:rsid w:val="00530FFF"/>
    <w:rsid w:val="00531100"/>
    <w:rsid w:val="00531B67"/>
    <w:rsid w:val="00532075"/>
    <w:rsid w:val="0053218D"/>
    <w:rsid w:val="00532413"/>
    <w:rsid w:val="0053268B"/>
    <w:rsid w:val="0053271E"/>
    <w:rsid w:val="00532995"/>
    <w:rsid w:val="00532C0B"/>
    <w:rsid w:val="0053349B"/>
    <w:rsid w:val="00533A95"/>
    <w:rsid w:val="00534810"/>
    <w:rsid w:val="00534A2E"/>
    <w:rsid w:val="00534ABB"/>
    <w:rsid w:val="00534F72"/>
    <w:rsid w:val="00535041"/>
    <w:rsid w:val="00536063"/>
    <w:rsid w:val="005362E1"/>
    <w:rsid w:val="00536DC9"/>
    <w:rsid w:val="00536F00"/>
    <w:rsid w:val="00536FF7"/>
    <w:rsid w:val="00537A02"/>
    <w:rsid w:val="005405D6"/>
    <w:rsid w:val="00540877"/>
    <w:rsid w:val="0054096E"/>
    <w:rsid w:val="00540CAA"/>
    <w:rsid w:val="00540F6B"/>
    <w:rsid w:val="005419EA"/>
    <w:rsid w:val="00541C0C"/>
    <w:rsid w:val="00541EAA"/>
    <w:rsid w:val="005421D3"/>
    <w:rsid w:val="00542318"/>
    <w:rsid w:val="00542364"/>
    <w:rsid w:val="00542485"/>
    <w:rsid w:val="005426EA"/>
    <w:rsid w:val="00542842"/>
    <w:rsid w:val="00542B1E"/>
    <w:rsid w:val="00542ECD"/>
    <w:rsid w:val="0054389E"/>
    <w:rsid w:val="00543B21"/>
    <w:rsid w:val="00543C87"/>
    <w:rsid w:val="00544156"/>
    <w:rsid w:val="00544269"/>
    <w:rsid w:val="00544341"/>
    <w:rsid w:val="005444A4"/>
    <w:rsid w:val="0054481F"/>
    <w:rsid w:val="00544985"/>
    <w:rsid w:val="005449F0"/>
    <w:rsid w:val="00545D87"/>
    <w:rsid w:val="00545F40"/>
    <w:rsid w:val="00546013"/>
    <w:rsid w:val="00546061"/>
    <w:rsid w:val="0054633D"/>
    <w:rsid w:val="00546A7E"/>
    <w:rsid w:val="005473A7"/>
    <w:rsid w:val="00547948"/>
    <w:rsid w:val="005503F7"/>
    <w:rsid w:val="00552190"/>
    <w:rsid w:val="00552AFC"/>
    <w:rsid w:val="00553053"/>
    <w:rsid w:val="005531C1"/>
    <w:rsid w:val="005539C0"/>
    <w:rsid w:val="00553F0F"/>
    <w:rsid w:val="00554092"/>
    <w:rsid w:val="00554205"/>
    <w:rsid w:val="0055505A"/>
    <w:rsid w:val="0055528C"/>
    <w:rsid w:val="005553DB"/>
    <w:rsid w:val="00555662"/>
    <w:rsid w:val="00555765"/>
    <w:rsid w:val="00555FDF"/>
    <w:rsid w:val="00556031"/>
    <w:rsid w:val="005563A3"/>
    <w:rsid w:val="005568EB"/>
    <w:rsid w:val="005569D0"/>
    <w:rsid w:val="00556A60"/>
    <w:rsid w:val="00556BD4"/>
    <w:rsid w:val="00556F15"/>
    <w:rsid w:val="00557994"/>
    <w:rsid w:val="005602C8"/>
    <w:rsid w:val="005604D8"/>
    <w:rsid w:val="0056162F"/>
    <w:rsid w:val="005617E2"/>
    <w:rsid w:val="005619E8"/>
    <w:rsid w:val="00561BDE"/>
    <w:rsid w:val="00561CB7"/>
    <w:rsid w:val="0056202C"/>
    <w:rsid w:val="005621A2"/>
    <w:rsid w:val="005623CC"/>
    <w:rsid w:val="005626C4"/>
    <w:rsid w:val="0056318A"/>
    <w:rsid w:val="00563234"/>
    <w:rsid w:val="0056364F"/>
    <w:rsid w:val="0056369B"/>
    <w:rsid w:val="00563C62"/>
    <w:rsid w:val="005641FE"/>
    <w:rsid w:val="00564554"/>
    <w:rsid w:val="00564847"/>
    <w:rsid w:val="00564BAA"/>
    <w:rsid w:val="00564D84"/>
    <w:rsid w:val="005652C2"/>
    <w:rsid w:val="005652DA"/>
    <w:rsid w:val="00565672"/>
    <w:rsid w:val="0056570F"/>
    <w:rsid w:val="00565782"/>
    <w:rsid w:val="005657D8"/>
    <w:rsid w:val="00565868"/>
    <w:rsid w:val="00565B29"/>
    <w:rsid w:val="005663AF"/>
    <w:rsid w:val="005668D6"/>
    <w:rsid w:val="00566921"/>
    <w:rsid w:val="00566C22"/>
    <w:rsid w:val="00566C68"/>
    <w:rsid w:val="00567079"/>
    <w:rsid w:val="00567123"/>
    <w:rsid w:val="00567629"/>
    <w:rsid w:val="005676EB"/>
    <w:rsid w:val="005678F8"/>
    <w:rsid w:val="005679C8"/>
    <w:rsid w:val="00567B44"/>
    <w:rsid w:val="00567CF4"/>
    <w:rsid w:val="00567F75"/>
    <w:rsid w:val="0057058E"/>
    <w:rsid w:val="005706E6"/>
    <w:rsid w:val="005708CA"/>
    <w:rsid w:val="005708E3"/>
    <w:rsid w:val="00570E4E"/>
    <w:rsid w:val="00572174"/>
    <w:rsid w:val="005721EB"/>
    <w:rsid w:val="0057227C"/>
    <w:rsid w:val="005722E9"/>
    <w:rsid w:val="0057230B"/>
    <w:rsid w:val="0057253E"/>
    <w:rsid w:val="005725E9"/>
    <w:rsid w:val="00572F3C"/>
    <w:rsid w:val="005730DF"/>
    <w:rsid w:val="00573102"/>
    <w:rsid w:val="0057378C"/>
    <w:rsid w:val="00573956"/>
    <w:rsid w:val="00573E73"/>
    <w:rsid w:val="0057458B"/>
    <w:rsid w:val="005745FA"/>
    <w:rsid w:val="00574B82"/>
    <w:rsid w:val="00574E73"/>
    <w:rsid w:val="005755CF"/>
    <w:rsid w:val="00575938"/>
    <w:rsid w:val="0057593D"/>
    <w:rsid w:val="00575945"/>
    <w:rsid w:val="00575F83"/>
    <w:rsid w:val="00576C5F"/>
    <w:rsid w:val="00576CC3"/>
    <w:rsid w:val="0057710C"/>
    <w:rsid w:val="005775BE"/>
    <w:rsid w:val="0057778F"/>
    <w:rsid w:val="00577978"/>
    <w:rsid w:val="00577F36"/>
    <w:rsid w:val="005801F8"/>
    <w:rsid w:val="005809D5"/>
    <w:rsid w:val="0058155B"/>
    <w:rsid w:val="0058164D"/>
    <w:rsid w:val="00581F19"/>
    <w:rsid w:val="00581FDA"/>
    <w:rsid w:val="00582CB8"/>
    <w:rsid w:val="00582F2B"/>
    <w:rsid w:val="005830A0"/>
    <w:rsid w:val="00583909"/>
    <w:rsid w:val="0058390B"/>
    <w:rsid w:val="00583963"/>
    <w:rsid w:val="00583AE4"/>
    <w:rsid w:val="00583DEB"/>
    <w:rsid w:val="00583FB8"/>
    <w:rsid w:val="0058441C"/>
    <w:rsid w:val="00584725"/>
    <w:rsid w:val="005847D8"/>
    <w:rsid w:val="005849B3"/>
    <w:rsid w:val="005849E3"/>
    <w:rsid w:val="00584DEF"/>
    <w:rsid w:val="0058515D"/>
    <w:rsid w:val="005855E7"/>
    <w:rsid w:val="00585736"/>
    <w:rsid w:val="0058579D"/>
    <w:rsid w:val="005859C1"/>
    <w:rsid w:val="00586049"/>
    <w:rsid w:val="00586847"/>
    <w:rsid w:val="00586952"/>
    <w:rsid w:val="00586B8A"/>
    <w:rsid w:val="00586CA8"/>
    <w:rsid w:val="0058709D"/>
    <w:rsid w:val="0058719E"/>
    <w:rsid w:val="005872BD"/>
    <w:rsid w:val="00587908"/>
    <w:rsid w:val="00587C73"/>
    <w:rsid w:val="00587E09"/>
    <w:rsid w:val="00590221"/>
    <w:rsid w:val="0059065F"/>
    <w:rsid w:val="00590A4A"/>
    <w:rsid w:val="00590DC7"/>
    <w:rsid w:val="00591325"/>
    <w:rsid w:val="00591715"/>
    <w:rsid w:val="00591A77"/>
    <w:rsid w:val="00591D89"/>
    <w:rsid w:val="00591F6F"/>
    <w:rsid w:val="00592237"/>
    <w:rsid w:val="00592680"/>
    <w:rsid w:val="005927E9"/>
    <w:rsid w:val="005928BF"/>
    <w:rsid w:val="0059296D"/>
    <w:rsid w:val="00592FB7"/>
    <w:rsid w:val="005930C2"/>
    <w:rsid w:val="005939C9"/>
    <w:rsid w:val="00593ACB"/>
    <w:rsid w:val="00593B50"/>
    <w:rsid w:val="00593F88"/>
    <w:rsid w:val="0059402A"/>
    <w:rsid w:val="0059453C"/>
    <w:rsid w:val="005947CD"/>
    <w:rsid w:val="00594BCE"/>
    <w:rsid w:val="00596009"/>
    <w:rsid w:val="00596367"/>
    <w:rsid w:val="00596D24"/>
    <w:rsid w:val="00596D48"/>
    <w:rsid w:val="00596DC7"/>
    <w:rsid w:val="00596E81"/>
    <w:rsid w:val="0059704F"/>
    <w:rsid w:val="00597B7F"/>
    <w:rsid w:val="00597C1F"/>
    <w:rsid w:val="005A043D"/>
    <w:rsid w:val="005A05EC"/>
    <w:rsid w:val="005A072F"/>
    <w:rsid w:val="005A08F7"/>
    <w:rsid w:val="005A0AA5"/>
    <w:rsid w:val="005A1479"/>
    <w:rsid w:val="005A16FC"/>
    <w:rsid w:val="005A1B96"/>
    <w:rsid w:val="005A25BF"/>
    <w:rsid w:val="005A27DA"/>
    <w:rsid w:val="005A29EF"/>
    <w:rsid w:val="005A2A55"/>
    <w:rsid w:val="005A2CAD"/>
    <w:rsid w:val="005A2D2A"/>
    <w:rsid w:val="005A3208"/>
    <w:rsid w:val="005A3416"/>
    <w:rsid w:val="005A353E"/>
    <w:rsid w:val="005A37F2"/>
    <w:rsid w:val="005A4137"/>
    <w:rsid w:val="005A434A"/>
    <w:rsid w:val="005A4552"/>
    <w:rsid w:val="005A473D"/>
    <w:rsid w:val="005A47AC"/>
    <w:rsid w:val="005A4E8E"/>
    <w:rsid w:val="005A53A3"/>
    <w:rsid w:val="005A5483"/>
    <w:rsid w:val="005A54A4"/>
    <w:rsid w:val="005A5C5E"/>
    <w:rsid w:val="005A5E77"/>
    <w:rsid w:val="005A611D"/>
    <w:rsid w:val="005A612C"/>
    <w:rsid w:val="005A6614"/>
    <w:rsid w:val="005A68E7"/>
    <w:rsid w:val="005A68F9"/>
    <w:rsid w:val="005A6C50"/>
    <w:rsid w:val="005A6C86"/>
    <w:rsid w:val="005A78CA"/>
    <w:rsid w:val="005A7946"/>
    <w:rsid w:val="005A79B6"/>
    <w:rsid w:val="005A7A63"/>
    <w:rsid w:val="005A7E20"/>
    <w:rsid w:val="005B045E"/>
    <w:rsid w:val="005B0F7A"/>
    <w:rsid w:val="005B1183"/>
    <w:rsid w:val="005B149C"/>
    <w:rsid w:val="005B159F"/>
    <w:rsid w:val="005B1728"/>
    <w:rsid w:val="005B1867"/>
    <w:rsid w:val="005B1A6E"/>
    <w:rsid w:val="005B1ACC"/>
    <w:rsid w:val="005B2341"/>
    <w:rsid w:val="005B28AB"/>
    <w:rsid w:val="005B2968"/>
    <w:rsid w:val="005B2992"/>
    <w:rsid w:val="005B3048"/>
    <w:rsid w:val="005B321D"/>
    <w:rsid w:val="005B332A"/>
    <w:rsid w:val="005B3351"/>
    <w:rsid w:val="005B33DF"/>
    <w:rsid w:val="005B3B6C"/>
    <w:rsid w:val="005B48A5"/>
    <w:rsid w:val="005B595D"/>
    <w:rsid w:val="005B5B33"/>
    <w:rsid w:val="005B5E0F"/>
    <w:rsid w:val="005B6191"/>
    <w:rsid w:val="005B647F"/>
    <w:rsid w:val="005B6632"/>
    <w:rsid w:val="005B6706"/>
    <w:rsid w:val="005B7274"/>
    <w:rsid w:val="005B7830"/>
    <w:rsid w:val="005B7ACF"/>
    <w:rsid w:val="005B7AF8"/>
    <w:rsid w:val="005B7D3A"/>
    <w:rsid w:val="005C00B4"/>
    <w:rsid w:val="005C0139"/>
    <w:rsid w:val="005C0436"/>
    <w:rsid w:val="005C0977"/>
    <w:rsid w:val="005C0C95"/>
    <w:rsid w:val="005C1280"/>
    <w:rsid w:val="005C1F29"/>
    <w:rsid w:val="005C26D3"/>
    <w:rsid w:val="005C2C4E"/>
    <w:rsid w:val="005C2C88"/>
    <w:rsid w:val="005C328F"/>
    <w:rsid w:val="005C3658"/>
    <w:rsid w:val="005C371D"/>
    <w:rsid w:val="005C3D32"/>
    <w:rsid w:val="005C3E88"/>
    <w:rsid w:val="005C45A7"/>
    <w:rsid w:val="005C4E52"/>
    <w:rsid w:val="005C4EBF"/>
    <w:rsid w:val="005C5E3D"/>
    <w:rsid w:val="005C621C"/>
    <w:rsid w:val="005C67C8"/>
    <w:rsid w:val="005C753C"/>
    <w:rsid w:val="005C78FD"/>
    <w:rsid w:val="005C7916"/>
    <w:rsid w:val="005D0DE8"/>
    <w:rsid w:val="005D1275"/>
    <w:rsid w:val="005D13F8"/>
    <w:rsid w:val="005D1712"/>
    <w:rsid w:val="005D186A"/>
    <w:rsid w:val="005D2142"/>
    <w:rsid w:val="005D221A"/>
    <w:rsid w:val="005D3609"/>
    <w:rsid w:val="005D36FE"/>
    <w:rsid w:val="005D3783"/>
    <w:rsid w:val="005D3E14"/>
    <w:rsid w:val="005D43DE"/>
    <w:rsid w:val="005D489B"/>
    <w:rsid w:val="005D4935"/>
    <w:rsid w:val="005D4A0D"/>
    <w:rsid w:val="005D5134"/>
    <w:rsid w:val="005D597B"/>
    <w:rsid w:val="005D59A0"/>
    <w:rsid w:val="005D6773"/>
    <w:rsid w:val="005D681E"/>
    <w:rsid w:val="005D6823"/>
    <w:rsid w:val="005D6A61"/>
    <w:rsid w:val="005D6B4A"/>
    <w:rsid w:val="005D6B7A"/>
    <w:rsid w:val="005D6F43"/>
    <w:rsid w:val="005D6F71"/>
    <w:rsid w:val="005D7A0D"/>
    <w:rsid w:val="005D7BB2"/>
    <w:rsid w:val="005D7F1E"/>
    <w:rsid w:val="005E09FD"/>
    <w:rsid w:val="005E0A4F"/>
    <w:rsid w:val="005E0D8C"/>
    <w:rsid w:val="005E15ED"/>
    <w:rsid w:val="005E18A3"/>
    <w:rsid w:val="005E1C0C"/>
    <w:rsid w:val="005E27C4"/>
    <w:rsid w:val="005E2976"/>
    <w:rsid w:val="005E2C15"/>
    <w:rsid w:val="005E2FB3"/>
    <w:rsid w:val="005E3256"/>
    <w:rsid w:val="005E3473"/>
    <w:rsid w:val="005E36E9"/>
    <w:rsid w:val="005E3787"/>
    <w:rsid w:val="005E3A79"/>
    <w:rsid w:val="005E3B0B"/>
    <w:rsid w:val="005E3C3D"/>
    <w:rsid w:val="005E3DBC"/>
    <w:rsid w:val="005E3F05"/>
    <w:rsid w:val="005E3FAD"/>
    <w:rsid w:val="005E401A"/>
    <w:rsid w:val="005E49C3"/>
    <w:rsid w:val="005E4A33"/>
    <w:rsid w:val="005E4C4A"/>
    <w:rsid w:val="005E56BF"/>
    <w:rsid w:val="005E5821"/>
    <w:rsid w:val="005E5CD8"/>
    <w:rsid w:val="005E5D91"/>
    <w:rsid w:val="005E618D"/>
    <w:rsid w:val="005E6717"/>
    <w:rsid w:val="005E6BB3"/>
    <w:rsid w:val="005E73A1"/>
    <w:rsid w:val="005E7B34"/>
    <w:rsid w:val="005E7B68"/>
    <w:rsid w:val="005F0290"/>
    <w:rsid w:val="005F05DC"/>
    <w:rsid w:val="005F065F"/>
    <w:rsid w:val="005F077D"/>
    <w:rsid w:val="005F086D"/>
    <w:rsid w:val="005F0FA0"/>
    <w:rsid w:val="005F1CFF"/>
    <w:rsid w:val="005F1EE9"/>
    <w:rsid w:val="005F21A4"/>
    <w:rsid w:val="005F2A16"/>
    <w:rsid w:val="005F2A7C"/>
    <w:rsid w:val="005F2EAB"/>
    <w:rsid w:val="005F2F0B"/>
    <w:rsid w:val="005F364B"/>
    <w:rsid w:val="005F43F3"/>
    <w:rsid w:val="005F4564"/>
    <w:rsid w:val="005F49B8"/>
    <w:rsid w:val="005F64C8"/>
    <w:rsid w:val="005F6707"/>
    <w:rsid w:val="005F69EC"/>
    <w:rsid w:val="005F69FE"/>
    <w:rsid w:val="005F6DE5"/>
    <w:rsid w:val="005F707D"/>
    <w:rsid w:val="005F707F"/>
    <w:rsid w:val="005F72DD"/>
    <w:rsid w:val="005F7449"/>
    <w:rsid w:val="005F767A"/>
    <w:rsid w:val="005F78F4"/>
    <w:rsid w:val="005F7B47"/>
    <w:rsid w:val="005F7BA7"/>
    <w:rsid w:val="005F7D8F"/>
    <w:rsid w:val="00600649"/>
    <w:rsid w:val="006007FC"/>
    <w:rsid w:val="006009DE"/>
    <w:rsid w:val="00600B43"/>
    <w:rsid w:val="00600BFD"/>
    <w:rsid w:val="00601318"/>
    <w:rsid w:val="0060131E"/>
    <w:rsid w:val="006015D5"/>
    <w:rsid w:val="00601E62"/>
    <w:rsid w:val="006020A6"/>
    <w:rsid w:val="006024E4"/>
    <w:rsid w:val="006026D7"/>
    <w:rsid w:val="0060295D"/>
    <w:rsid w:val="00602FA3"/>
    <w:rsid w:val="0060311D"/>
    <w:rsid w:val="0060320B"/>
    <w:rsid w:val="00603AFB"/>
    <w:rsid w:val="00603ED5"/>
    <w:rsid w:val="00604051"/>
    <w:rsid w:val="00604C78"/>
    <w:rsid w:val="00604D4C"/>
    <w:rsid w:val="00604F07"/>
    <w:rsid w:val="00605774"/>
    <w:rsid w:val="00605E0A"/>
    <w:rsid w:val="006065B4"/>
    <w:rsid w:val="00606686"/>
    <w:rsid w:val="0060668D"/>
    <w:rsid w:val="006067DF"/>
    <w:rsid w:val="00606FB2"/>
    <w:rsid w:val="00607025"/>
    <w:rsid w:val="006070DA"/>
    <w:rsid w:val="0060737E"/>
    <w:rsid w:val="0060754F"/>
    <w:rsid w:val="00607562"/>
    <w:rsid w:val="006079B0"/>
    <w:rsid w:val="0061068A"/>
    <w:rsid w:val="006107AE"/>
    <w:rsid w:val="006107B9"/>
    <w:rsid w:val="00610996"/>
    <w:rsid w:val="00611092"/>
    <w:rsid w:val="006110A7"/>
    <w:rsid w:val="00611BE1"/>
    <w:rsid w:val="00611D08"/>
    <w:rsid w:val="006122D7"/>
    <w:rsid w:val="006123CE"/>
    <w:rsid w:val="00612767"/>
    <w:rsid w:val="00612AC4"/>
    <w:rsid w:val="00612BEC"/>
    <w:rsid w:val="00612C16"/>
    <w:rsid w:val="00612DEE"/>
    <w:rsid w:val="00612E34"/>
    <w:rsid w:val="006132EA"/>
    <w:rsid w:val="00613524"/>
    <w:rsid w:val="006136B2"/>
    <w:rsid w:val="00613713"/>
    <w:rsid w:val="00613871"/>
    <w:rsid w:val="00613C73"/>
    <w:rsid w:val="00613CAD"/>
    <w:rsid w:val="006141F9"/>
    <w:rsid w:val="0061477F"/>
    <w:rsid w:val="00614D2C"/>
    <w:rsid w:val="00615261"/>
    <w:rsid w:val="00615943"/>
    <w:rsid w:val="00615B2D"/>
    <w:rsid w:val="00615E84"/>
    <w:rsid w:val="00615EDC"/>
    <w:rsid w:val="00616268"/>
    <w:rsid w:val="00616DA1"/>
    <w:rsid w:val="00617378"/>
    <w:rsid w:val="00617593"/>
    <w:rsid w:val="0061783A"/>
    <w:rsid w:val="0061794A"/>
    <w:rsid w:val="00617CB7"/>
    <w:rsid w:val="00620407"/>
    <w:rsid w:val="00620705"/>
    <w:rsid w:val="00620E70"/>
    <w:rsid w:val="0062127F"/>
    <w:rsid w:val="00621390"/>
    <w:rsid w:val="00621850"/>
    <w:rsid w:val="0062190E"/>
    <w:rsid w:val="00621EA1"/>
    <w:rsid w:val="00621F9F"/>
    <w:rsid w:val="00621FF4"/>
    <w:rsid w:val="0062230B"/>
    <w:rsid w:val="00622541"/>
    <w:rsid w:val="00622950"/>
    <w:rsid w:val="00622ADE"/>
    <w:rsid w:val="00622B53"/>
    <w:rsid w:val="0062388B"/>
    <w:rsid w:val="00623994"/>
    <w:rsid w:val="00623E46"/>
    <w:rsid w:val="00623E5F"/>
    <w:rsid w:val="0062466F"/>
    <w:rsid w:val="00624E3A"/>
    <w:rsid w:val="00625036"/>
    <w:rsid w:val="0062515E"/>
    <w:rsid w:val="00625974"/>
    <w:rsid w:val="00625B39"/>
    <w:rsid w:val="00626256"/>
    <w:rsid w:val="006262B5"/>
    <w:rsid w:val="006263D8"/>
    <w:rsid w:val="006266FD"/>
    <w:rsid w:val="00626A4E"/>
    <w:rsid w:val="00626ED4"/>
    <w:rsid w:val="00627050"/>
    <w:rsid w:val="0062709D"/>
    <w:rsid w:val="0062723C"/>
    <w:rsid w:val="006273A3"/>
    <w:rsid w:val="0062751A"/>
    <w:rsid w:val="006275FA"/>
    <w:rsid w:val="006276C3"/>
    <w:rsid w:val="0062774F"/>
    <w:rsid w:val="00630923"/>
    <w:rsid w:val="00630BB4"/>
    <w:rsid w:val="00630C2C"/>
    <w:rsid w:val="00630E02"/>
    <w:rsid w:val="0063101B"/>
    <w:rsid w:val="006310B9"/>
    <w:rsid w:val="0063114E"/>
    <w:rsid w:val="006311D8"/>
    <w:rsid w:val="0063133C"/>
    <w:rsid w:val="00631B3A"/>
    <w:rsid w:val="00631FF3"/>
    <w:rsid w:val="0063209D"/>
    <w:rsid w:val="006320FC"/>
    <w:rsid w:val="0063218A"/>
    <w:rsid w:val="00632315"/>
    <w:rsid w:val="00632383"/>
    <w:rsid w:val="00632553"/>
    <w:rsid w:val="00632BA7"/>
    <w:rsid w:val="00632C00"/>
    <w:rsid w:val="00632ECC"/>
    <w:rsid w:val="00633A70"/>
    <w:rsid w:val="00633E0F"/>
    <w:rsid w:val="0063434D"/>
    <w:rsid w:val="006345DD"/>
    <w:rsid w:val="00634E6A"/>
    <w:rsid w:val="00635257"/>
    <w:rsid w:val="006353F6"/>
    <w:rsid w:val="00635B42"/>
    <w:rsid w:val="00636628"/>
    <w:rsid w:val="0063668C"/>
    <w:rsid w:val="006369D7"/>
    <w:rsid w:val="00636B10"/>
    <w:rsid w:val="006374E3"/>
    <w:rsid w:val="00637587"/>
    <w:rsid w:val="006379FB"/>
    <w:rsid w:val="00637D47"/>
    <w:rsid w:val="00637DD0"/>
    <w:rsid w:val="00637E11"/>
    <w:rsid w:val="006402B5"/>
    <w:rsid w:val="006402D3"/>
    <w:rsid w:val="0064048C"/>
    <w:rsid w:val="00640AEA"/>
    <w:rsid w:val="00640E32"/>
    <w:rsid w:val="00641872"/>
    <w:rsid w:val="00641A4C"/>
    <w:rsid w:val="00641B11"/>
    <w:rsid w:val="00641E3B"/>
    <w:rsid w:val="00642002"/>
    <w:rsid w:val="00642740"/>
    <w:rsid w:val="00642A47"/>
    <w:rsid w:val="00643539"/>
    <w:rsid w:val="006439FA"/>
    <w:rsid w:val="00643CC2"/>
    <w:rsid w:val="0064440C"/>
    <w:rsid w:val="00644443"/>
    <w:rsid w:val="00644CD2"/>
    <w:rsid w:val="00644DAD"/>
    <w:rsid w:val="006453FF"/>
    <w:rsid w:val="00645ABD"/>
    <w:rsid w:val="00645EFB"/>
    <w:rsid w:val="006462A0"/>
    <w:rsid w:val="00646478"/>
    <w:rsid w:val="00646677"/>
    <w:rsid w:val="00646920"/>
    <w:rsid w:val="00646D3F"/>
    <w:rsid w:val="006472D5"/>
    <w:rsid w:val="006472F9"/>
    <w:rsid w:val="006479FC"/>
    <w:rsid w:val="00647B2B"/>
    <w:rsid w:val="00647E3E"/>
    <w:rsid w:val="00647E79"/>
    <w:rsid w:val="006507F1"/>
    <w:rsid w:val="006512A4"/>
    <w:rsid w:val="00651351"/>
    <w:rsid w:val="006515FD"/>
    <w:rsid w:val="0065164E"/>
    <w:rsid w:val="0065184A"/>
    <w:rsid w:val="00652472"/>
    <w:rsid w:val="00652C95"/>
    <w:rsid w:val="00652C9A"/>
    <w:rsid w:val="00652DDD"/>
    <w:rsid w:val="006532CA"/>
    <w:rsid w:val="00653B78"/>
    <w:rsid w:val="00654BB1"/>
    <w:rsid w:val="006553DB"/>
    <w:rsid w:val="006559EF"/>
    <w:rsid w:val="00655F3E"/>
    <w:rsid w:val="00656211"/>
    <w:rsid w:val="0065644A"/>
    <w:rsid w:val="00656795"/>
    <w:rsid w:val="00656E11"/>
    <w:rsid w:val="006570CB"/>
    <w:rsid w:val="00657649"/>
    <w:rsid w:val="00657B03"/>
    <w:rsid w:val="00660729"/>
    <w:rsid w:val="00660755"/>
    <w:rsid w:val="0066092E"/>
    <w:rsid w:val="006615A5"/>
    <w:rsid w:val="006616E0"/>
    <w:rsid w:val="00661851"/>
    <w:rsid w:val="0066217F"/>
    <w:rsid w:val="00662336"/>
    <w:rsid w:val="0066273E"/>
    <w:rsid w:val="00662A93"/>
    <w:rsid w:val="00662BEB"/>
    <w:rsid w:val="00663745"/>
    <w:rsid w:val="006639BD"/>
    <w:rsid w:val="00663C4A"/>
    <w:rsid w:val="00663FC9"/>
    <w:rsid w:val="006644AC"/>
    <w:rsid w:val="00665381"/>
    <w:rsid w:val="0066544E"/>
    <w:rsid w:val="0066594D"/>
    <w:rsid w:val="00665A7C"/>
    <w:rsid w:val="00665D25"/>
    <w:rsid w:val="00665E2F"/>
    <w:rsid w:val="00665F0D"/>
    <w:rsid w:val="00665F15"/>
    <w:rsid w:val="0066639B"/>
    <w:rsid w:val="006665F7"/>
    <w:rsid w:val="006665FE"/>
    <w:rsid w:val="00667272"/>
    <w:rsid w:val="006677A9"/>
    <w:rsid w:val="00667CC6"/>
    <w:rsid w:val="006700B1"/>
    <w:rsid w:val="006700F8"/>
    <w:rsid w:val="00670B9C"/>
    <w:rsid w:val="00670E23"/>
    <w:rsid w:val="00671264"/>
    <w:rsid w:val="00671643"/>
    <w:rsid w:val="006717EA"/>
    <w:rsid w:val="00671B40"/>
    <w:rsid w:val="0067274A"/>
    <w:rsid w:val="0067297C"/>
    <w:rsid w:val="00672F1B"/>
    <w:rsid w:val="0067302E"/>
    <w:rsid w:val="00673220"/>
    <w:rsid w:val="00673640"/>
    <w:rsid w:val="00673D17"/>
    <w:rsid w:val="00673E68"/>
    <w:rsid w:val="00674927"/>
    <w:rsid w:val="00674976"/>
    <w:rsid w:val="00674A82"/>
    <w:rsid w:val="00674E12"/>
    <w:rsid w:val="0067529A"/>
    <w:rsid w:val="006759ED"/>
    <w:rsid w:val="00675A1D"/>
    <w:rsid w:val="00675C47"/>
    <w:rsid w:val="00675E72"/>
    <w:rsid w:val="0067620F"/>
    <w:rsid w:val="00676555"/>
    <w:rsid w:val="0067664F"/>
    <w:rsid w:val="006769D9"/>
    <w:rsid w:val="0067743D"/>
    <w:rsid w:val="00677601"/>
    <w:rsid w:val="00677A92"/>
    <w:rsid w:val="00677ADD"/>
    <w:rsid w:val="006802E7"/>
    <w:rsid w:val="00680378"/>
    <w:rsid w:val="006804FB"/>
    <w:rsid w:val="0068060E"/>
    <w:rsid w:val="00680761"/>
    <w:rsid w:val="00681182"/>
    <w:rsid w:val="00681AB3"/>
    <w:rsid w:val="00681BE3"/>
    <w:rsid w:val="00681C0F"/>
    <w:rsid w:val="00681E31"/>
    <w:rsid w:val="00681E3C"/>
    <w:rsid w:val="00682A84"/>
    <w:rsid w:val="006839AC"/>
    <w:rsid w:val="00683B6D"/>
    <w:rsid w:val="006845AD"/>
    <w:rsid w:val="0068465F"/>
    <w:rsid w:val="00684BC3"/>
    <w:rsid w:val="00684BDC"/>
    <w:rsid w:val="00684F7E"/>
    <w:rsid w:val="0068521F"/>
    <w:rsid w:val="00685C44"/>
    <w:rsid w:val="006863BA"/>
    <w:rsid w:val="0068655D"/>
    <w:rsid w:val="00687074"/>
    <w:rsid w:val="006878DC"/>
    <w:rsid w:val="00687E65"/>
    <w:rsid w:val="00690A3C"/>
    <w:rsid w:val="00690B2A"/>
    <w:rsid w:val="00690F4D"/>
    <w:rsid w:val="00691992"/>
    <w:rsid w:val="00691C04"/>
    <w:rsid w:val="00691CE4"/>
    <w:rsid w:val="006920A1"/>
    <w:rsid w:val="0069216A"/>
    <w:rsid w:val="0069222F"/>
    <w:rsid w:val="00692511"/>
    <w:rsid w:val="006925AC"/>
    <w:rsid w:val="00692695"/>
    <w:rsid w:val="006929E2"/>
    <w:rsid w:val="00692B1A"/>
    <w:rsid w:val="00692BB2"/>
    <w:rsid w:val="00692EE0"/>
    <w:rsid w:val="006936E2"/>
    <w:rsid w:val="0069492F"/>
    <w:rsid w:val="006949F5"/>
    <w:rsid w:val="006953AC"/>
    <w:rsid w:val="00695D1A"/>
    <w:rsid w:val="00695D5B"/>
    <w:rsid w:val="00695DE3"/>
    <w:rsid w:val="0069648E"/>
    <w:rsid w:val="00696A7A"/>
    <w:rsid w:val="00697447"/>
    <w:rsid w:val="00697B13"/>
    <w:rsid w:val="00697D1E"/>
    <w:rsid w:val="006A0051"/>
    <w:rsid w:val="006A0455"/>
    <w:rsid w:val="006A0BA4"/>
    <w:rsid w:val="006A0BE8"/>
    <w:rsid w:val="006A0F05"/>
    <w:rsid w:val="006A12E5"/>
    <w:rsid w:val="006A1BA8"/>
    <w:rsid w:val="006A1F3F"/>
    <w:rsid w:val="006A2057"/>
    <w:rsid w:val="006A367F"/>
    <w:rsid w:val="006A37D7"/>
    <w:rsid w:val="006A37DE"/>
    <w:rsid w:val="006A384C"/>
    <w:rsid w:val="006A3C7E"/>
    <w:rsid w:val="006A3CCD"/>
    <w:rsid w:val="006A4356"/>
    <w:rsid w:val="006A445E"/>
    <w:rsid w:val="006A4D20"/>
    <w:rsid w:val="006A4FEB"/>
    <w:rsid w:val="006A5171"/>
    <w:rsid w:val="006A51A0"/>
    <w:rsid w:val="006A5208"/>
    <w:rsid w:val="006A57F3"/>
    <w:rsid w:val="006A582E"/>
    <w:rsid w:val="006A5A50"/>
    <w:rsid w:val="006A5B34"/>
    <w:rsid w:val="006A66DB"/>
    <w:rsid w:val="006A6BC1"/>
    <w:rsid w:val="006A6F98"/>
    <w:rsid w:val="006A74F8"/>
    <w:rsid w:val="006A7586"/>
    <w:rsid w:val="006A788F"/>
    <w:rsid w:val="006A7A9C"/>
    <w:rsid w:val="006A7AE8"/>
    <w:rsid w:val="006A7DA8"/>
    <w:rsid w:val="006B00E3"/>
    <w:rsid w:val="006B03AD"/>
    <w:rsid w:val="006B0BAD"/>
    <w:rsid w:val="006B1043"/>
    <w:rsid w:val="006B1278"/>
    <w:rsid w:val="006B1393"/>
    <w:rsid w:val="006B17F7"/>
    <w:rsid w:val="006B18EF"/>
    <w:rsid w:val="006B1D5A"/>
    <w:rsid w:val="006B2184"/>
    <w:rsid w:val="006B2349"/>
    <w:rsid w:val="006B25B4"/>
    <w:rsid w:val="006B2A9D"/>
    <w:rsid w:val="006B2E5D"/>
    <w:rsid w:val="006B30F4"/>
    <w:rsid w:val="006B3834"/>
    <w:rsid w:val="006B394A"/>
    <w:rsid w:val="006B4255"/>
    <w:rsid w:val="006B42D9"/>
    <w:rsid w:val="006B441F"/>
    <w:rsid w:val="006B48BA"/>
    <w:rsid w:val="006B543E"/>
    <w:rsid w:val="006B5B35"/>
    <w:rsid w:val="006B5DD2"/>
    <w:rsid w:val="006B5FA0"/>
    <w:rsid w:val="006B63F3"/>
    <w:rsid w:val="006B66C9"/>
    <w:rsid w:val="006B69F4"/>
    <w:rsid w:val="006B6CC0"/>
    <w:rsid w:val="006B70B5"/>
    <w:rsid w:val="006B733C"/>
    <w:rsid w:val="006B79D2"/>
    <w:rsid w:val="006B7B21"/>
    <w:rsid w:val="006B7CB4"/>
    <w:rsid w:val="006B7D8F"/>
    <w:rsid w:val="006B7EBB"/>
    <w:rsid w:val="006B7EFC"/>
    <w:rsid w:val="006C0832"/>
    <w:rsid w:val="006C096F"/>
    <w:rsid w:val="006C09DA"/>
    <w:rsid w:val="006C0B21"/>
    <w:rsid w:val="006C17E4"/>
    <w:rsid w:val="006C1A98"/>
    <w:rsid w:val="006C1FCA"/>
    <w:rsid w:val="006C2670"/>
    <w:rsid w:val="006C2B4B"/>
    <w:rsid w:val="006C352D"/>
    <w:rsid w:val="006C388B"/>
    <w:rsid w:val="006C39DA"/>
    <w:rsid w:val="006C3AB5"/>
    <w:rsid w:val="006C4DE3"/>
    <w:rsid w:val="006C5A4A"/>
    <w:rsid w:val="006C5AD9"/>
    <w:rsid w:val="006C5D37"/>
    <w:rsid w:val="006C5EE4"/>
    <w:rsid w:val="006C5F44"/>
    <w:rsid w:val="006C60D5"/>
    <w:rsid w:val="006C68D1"/>
    <w:rsid w:val="006C68DD"/>
    <w:rsid w:val="006C6CC4"/>
    <w:rsid w:val="006C6F2C"/>
    <w:rsid w:val="006C7044"/>
    <w:rsid w:val="006C70D8"/>
    <w:rsid w:val="006C7157"/>
    <w:rsid w:val="006C7295"/>
    <w:rsid w:val="006C7669"/>
    <w:rsid w:val="006C7A96"/>
    <w:rsid w:val="006C7B11"/>
    <w:rsid w:val="006C7EF6"/>
    <w:rsid w:val="006C7F51"/>
    <w:rsid w:val="006D08B6"/>
    <w:rsid w:val="006D0BD4"/>
    <w:rsid w:val="006D1395"/>
    <w:rsid w:val="006D193D"/>
    <w:rsid w:val="006D1CE7"/>
    <w:rsid w:val="006D1FF6"/>
    <w:rsid w:val="006D210D"/>
    <w:rsid w:val="006D2225"/>
    <w:rsid w:val="006D2241"/>
    <w:rsid w:val="006D2944"/>
    <w:rsid w:val="006D2F44"/>
    <w:rsid w:val="006D30E8"/>
    <w:rsid w:val="006D3110"/>
    <w:rsid w:val="006D3543"/>
    <w:rsid w:val="006D380E"/>
    <w:rsid w:val="006D3DEF"/>
    <w:rsid w:val="006D3E61"/>
    <w:rsid w:val="006D41FE"/>
    <w:rsid w:val="006D484A"/>
    <w:rsid w:val="006D4930"/>
    <w:rsid w:val="006D4A8C"/>
    <w:rsid w:val="006D4BA2"/>
    <w:rsid w:val="006D4DEA"/>
    <w:rsid w:val="006D52AD"/>
    <w:rsid w:val="006D52BB"/>
    <w:rsid w:val="006D5655"/>
    <w:rsid w:val="006D5D2E"/>
    <w:rsid w:val="006D601A"/>
    <w:rsid w:val="006D6038"/>
    <w:rsid w:val="006D6B08"/>
    <w:rsid w:val="006D6BAC"/>
    <w:rsid w:val="006D6BFC"/>
    <w:rsid w:val="006D734D"/>
    <w:rsid w:val="006D78CD"/>
    <w:rsid w:val="006D7D6C"/>
    <w:rsid w:val="006E0008"/>
    <w:rsid w:val="006E02E1"/>
    <w:rsid w:val="006E0324"/>
    <w:rsid w:val="006E09E4"/>
    <w:rsid w:val="006E0A17"/>
    <w:rsid w:val="006E0E34"/>
    <w:rsid w:val="006E0FFD"/>
    <w:rsid w:val="006E18C2"/>
    <w:rsid w:val="006E1CAF"/>
    <w:rsid w:val="006E1E2C"/>
    <w:rsid w:val="006E23CC"/>
    <w:rsid w:val="006E26FE"/>
    <w:rsid w:val="006E2973"/>
    <w:rsid w:val="006E2A13"/>
    <w:rsid w:val="006E2A7E"/>
    <w:rsid w:val="006E30CA"/>
    <w:rsid w:val="006E31A1"/>
    <w:rsid w:val="006E36CA"/>
    <w:rsid w:val="006E3E70"/>
    <w:rsid w:val="006E3F87"/>
    <w:rsid w:val="006E4038"/>
    <w:rsid w:val="006E4328"/>
    <w:rsid w:val="006E471A"/>
    <w:rsid w:val="006E515C"/>
    <w:rsid w:val="006E52EE"/>
    <w:rsid w:val="006E5A6A"/>
    <w:rsid w:val="006E5C06"/>
    <w:rsid w:val="006E618B"/>
    <w:rsid w:val="006E62F9"/>
    <w:rsid w:val="006E6971"/>
    <w:rsid w:val="006E72C2"/>
    <w:rsid w:val="006E7860"/>
    <w:rsid w:val="006E7AFB"/>
    <w:rsid w:val="006F007D"/>
    <w:rsid w:val="006F01DF"/>
    <w:rsid w:val="006F0584"/>
    <w:rsid w:val="006F0654"/>
    <w:rsid w:val="006F0679"/>
    <w:rsid w:val="006F0EFE"/>
    <w:rsid w:val="006F1213"/>
    <w:rsid w:val="006F196F"/>
    <w:rsid w:val="006F2270"/>
    <w:rsid w:val="006F2580"/>
    <w:rsid w:val="006F2A45"/>
    <w:rsid w:val="006F33E8"/>
    <w:rsid w:val="006F3531"/>
    <w:rsid w:val="006F435A"/>
    <w:rsid w:val="006F4A56"/>
    <w:rsid w:val="006F599B"/>
    <w:rsid w:val="006F59D7"/>
    <w:rsid w:val="006F64A9"/>
    <w:rsid w:val="006F6879"/>
    <w:rsid w:val="006F6C51"/>
    <w:rsid w:val="006F6DBA"/>
    <w:rsid w:val="006F74E5"/>
    <w:rsid w:val="006F7562"/>
    <w:rsid w:val="006F77AD"/>
    <w:rsid w:val="006F782F"/>
    <w:rsid w:val="006F79FB"/>
    <w:rsid w:val="007007CC"/>
    <w:rsid w:val="00700AF6"/>
    <w:rsid w:val="00700CD8"/>
    <w:rsid w:val="0070111F"/>
    <w:rsid w:val="00701655"/>
    <w:rsid w:val="00701C2B"/>
    <w:rsid w:val="00701CC2"/>
    <w:rsid w:val="00702276"/>
    <w:rsid w:val="00702326"/>
    <w:rsid w:val="00702327"/>
    <w:rsid w:val="007023AB"/>
    <w:rsid w:val="0070277B"/>
    <w:rsid w:val="00702AD5"/>
    <w:rsid w:val="00702BCC"/>
    <w:rsid w:val="00703239"/>
    <w:rsid w:val="007040FE"/>
    <w:rsid w:val="0070415D"/>
    <w:rsid w:val="00704172"/>
    <w:rsid w:val="00704668"/>
    <w:rsid w:val="007049CE"/>
    <w:rsid w:val="00704B1F"/>
    <w:rsid w:val="00704BB8"/>
    <w:rsid w:val="00704EE0"/>
    <w:rsid w:val="007053E3"/>
    <w:rsid w:val="00705444"/>
    <w:rsid w:val="00705B28"/>
    <w:rsid w:val="00705C65"/>
    <w:rsid w:val="00705D14"/>
    <w:rsid w:val="00705D7A"/>
    <w:rsid w:val="007060D4"/>
    <w:rsid w:val="00706568"/>
    <w:rsid w:val="00706744"/>
    <w:rsid w:val="00706A00"/>
    <w:rsid w:val="00707166"/>
    <w:rsid w:val="0070726F"/>
    <w:rsid w:val="00707316"/>
    <w:rsid w:val="00707453"/>
    <w:rsid w:val="00707653"/>
    <w:rsid w:val="00707963"/>
    <w:rsid w:val="00707975"/>
    <w:rsid w:val="007079B4"/>
    <w:rsid w:val="00707D84"/>
    <w:rsid w:val="0071035D"/>
    <w:rsid w:val="007104C4"/>
    <w:rsid w:val="007112E8"/>
    <w:rsid w:val="007117EC"/>
    <w:rsid w:val="00711F30"/>
    <w:rsid w:val="00712378"/>
    <w:rsid w:val="007131FF"/>
    <w:rsid w:val="00713269"/>
    <w:rsid w:val="00713B63"/>
    <w:rsid w:val="00713BF6"/>
    <w:rsid w:val="00714004"/>
    <w:rsid w:val="0071439E"/>
    <w:rsid w:val="00715731"/>
    <w:rsid w:val="00715763"/>
    <w:rsid w:val="00715AD2"/>
    <w:rsid w:val="00715FA3"/>
    <w:rsid w:val="007160D0"/>
    <w:rsid w:val="00716214"/>
    <w:rsid w:val="00716374"/>
    <w:rsid w:val="0071668B"/>
    <w:rsid w:val="00716735"/>
    <w:rsid w:val="007169E6"/>
    <w:rsid w:val="00716BF5"/>
    <w:rsid w:val="00716C8C"/>
    <w:rsid w:val="00716D03"/>
    <w:rsid w:val="00716E0F"/>
    <w:rsid w:val="00716F11"/>
    <w:rsid w:val="00717B38"/>
    <w:rsid w:val="00717CBC"/>
    <w:rsid w:val="00717CFC"/>
    <w:rsid w:val="00717D1D"/>
    <w:rsid w:val="00720A61"/>
    <w:rsid w:val="00720A9C"/>
    <w:rsid w:val="00720FDC"/>
    <w:rsid w:val="00721369"/>
    <w:rsid w:val="0072137C"/>
    <w:rsid w:val="00721646"/>
    <w:rsid w:val="00721ABC"/>
    <w:rsid w:val="00722529"/>
    <w:rsid w:val="00722644"/>
    <w:rsid w:val="00722B5C"/>
    <w:rsid w:val="00722BCA"/>
    <w:rsid w:val="00722EF3"/>
    <w:rsid w:val="00723473"/>
    <w:rsid w:val="00723553"/>
    <w:rsid w:val="0072363E"/>
    <w:rsid w:val="00724114"/>
    <w:rsid w:val="007244B1"/>
    <w:rsid w:val="00724563"/>
    <w:rsid w:val="007245A0"/>
    <w:rsid w:val="00724634"/>
    <w:rsid w:val="0072465D"/>
    <w:rsid w:val="00724E33"/>
    <w:rsid w:val="00725005"/>
    <w:rsid w:val="00725206"/>
    <w:rsid w:val="00725893"/>
    <w:rsid w:val="0072594D"/>
    <w:rsid w:val="00725D40"/>
    <w:rsid w:val="00725E05"/>
    <w:rsid w:val="00726783"/>
    <w:rsid w:val="00726E2C"/>
    <w:rsid w:val="007273AA"/>
    <w:rsid w:val="0072760B"/>
    <w:rsid w:val="00727AFB"/>
    <w:rsid w:val="00727BE2"/>
    <w:rsid w:val="00727C41"/>
    <w:rsid w:val="0073017F"/>
    <w:rsid w:val="00730396"/>
    <w:rsid w:val="007303F5"/>
    <w:rsid w:val="00730505"/>
    <w:rsid w:val="007305B7"/>
    <w:rsid w:val="00730637"/>
    <w:rsid w:val="007307BC"/>
    <w:rsid w:val="00730A43"/>
    <w:rsid w:val="00730AAD"/>
    <w:rsid w:val="00730E7E"/>
    <w:rsid w:val="007310C5"/>
    <w:rsid w:val="007314A2"/>
    <w:rsid w:val="00731764"/>
    <w:rsid w:val="00731A5B"/>
    <w:rsid w:val="00731A9F"/>
    <w:rsid w:val="00732449"/>
    <w:rsid w:val="007327FE"/>
    <w:rsid w:val="00732D3E"/>
    <w:rsid w:val="00732DBE"/>
    <w:rsid w:val="0073329B"/>
    <w:rsid w:val="00733662"/>
    <w:rsid w:val="007337CB"/>
    <w:rsid w:val="00733A3A"/>
    <w:rsid w:val="00734157"/>
    <w:rsid w:val="0073425F"/>
    <w:rsid w:val="0073434E"/>
    <w:rsid w:val="00734555"/>
    <w:rsid w:val="00734676"/>
    <w:rsid w:val="00734A79"/>
    <w:rsid w:val="00734D09"/>
    <w:rsid w:val="0073502A"/>
    <w:rsid w:val="007351B6"/>
    <w:rsid w:val="00735287"/>
    <w:rsid w:val="0073548B"/>
    <w:rsid w:val="00735777"/>
    <w:rsid w:val="00735826"/>
    <w:rsid w:val="00735923"/>
    <w:rsid w:val="007360A3"/>
    <w:rsid w:val="007361F3"/>
    <w:rsid w:val="00736359"/>
    <w:rsid w:val="007363E4"/>
    <w:rsid w:val="007364F6"/>
    <w:rsid w:val="00736ACB"/>
    <w:rsid w:val="00736D56"/>
    <w:rsid w:val="00736F05"/>
    <w:rsid w:val="0073724D"/>
    <w:rsid w:val="0073724F"/>
    <w:rsid w:val="007372F0"/>
    <w:rsid w:val="00737416"/>
    <w:rsid w:val="007374CE"/>
    <w:rsid w:val="0073779C"/>
    <w:rsid w:val="0073780A"/>
    <w:rsid w:val="00737F91"/>
    <w:rsid w:val="00740065"/>
    <w:rsid w:val="007405A7"/>
    <w:rsid w:val="00740B7B"/>
    <w:rsid w:val="00740BBA"/>
    <w:rsid w:val="00740C34"/>
    <w:rsid w:val="007412C4"/>
    <w:rsid w:val="007416CA"/>
    <w:rsid w:val="00741792"/>
    <w:rsid w:val="00741D8B"/>
    <w:rsid w:val="0074216B"/>
    <w:rsid w:val="00742335"/>
    <w:rsid w:val="00742411"/>
    <w:rsid w:val="007427C8"/>
    <w:rsid w:val="00742BE2"/>
    <w:rsid w:val="00744004"/>
    <w:rsid w:val="0074447B"/>
    <w:rsid w:val="00744A09"/>
    <w:rsid w:val="00744AC6"/>
    <w:rsid w:val="00745324"/>
    <w:rsid w:val="00745659"/>
    <w:rsid w:val="007459D9"/>
    <w:rsid w:val="00745B94"/>
    <w:rsid w:val="007461E2"/>
    <w:rsid w:val="00746C46"/>
    <w:rsid w:val="00746CE3"/>
    <w:rsid w:val="00746D23"/>
    <w:rsid w:val="007470D3"/>
    <w:rsid w:val="00747111"/>
    <w:rsid w:val="007472DE"/>
    <w:rsid w:val="00747378"/>
    <w:rsid w:val="0074744C"/>
    <w:rsid w:val="007476B7"/>
    <w:rsid w:val="007477E6"/>
    <w:rsid w:val="007505C3"/>
    <w:rsid w:val="0075089F"/>
    <w:rsid w:val="00750C65"/>
    <w:rsid w:val="00750C78"/>
    <w:rsid w:val="00751162"/>
    <w:rsid w:val="007512DB"/>
    <w:rsid w:val="00751641"/>
    <w:rsid w:val="00751C21"/>
    <w:rsid w:val="00751C5C"/>
    <w:rsid w:val="0075242B"/>
    <w:rsid w:val="00752C1A"/>
    <w:rsid w:val="00752FBE"/>
    <w:rsid w:val="007535EC"/>
    <w:rsid w:val="00753B70"/>
    <w:rsid w:val="00753DA2"/>
    <w:rsid w:val="00753DBF"/>
    <w:rsid w:val="00754198"/>
    <w:rsid w:val="00754586"/>
    <w:rsid w:val="00754966"/>
    <w:rsid w:val="00754B28"/>
    <w:rsid w:val="00754C81"/>
    <w:rsid w:val="007553C1"/>
    <w:rsid w:val="0075550D"/>
    <w:rsid w:val="007564FE"/>
    <w:rsid w:val="007566D9"/>
    <w:rsid w:val="0075682F"/>
    <w:rsid w:val="00756CE2"/>
    <w:rsid w:val="00756F59"/>
    <w:rsid w:val="00757F47"/>
    <w:rsid w:val="0076017A"/>
    <w:rsid w:val="007601E9"/>
    <w:rsid w:val="0076037E"/>
    <w:rsid w:val="00760633"/>
    <w:rsid w:val="00760C95"/>
    <w:rsid w:val="00760F53"/>
    <w:rsid w:val="00761527"/>
    <w:rsid w:val="00761A5D"/>
    <w:rsid w:val="00762323"/>
    <w:rsid w:val="00762729"/>
    <w:rsid w:val="00762C84"/>
    <w:rsid w:val="00762EC0"/>
    <w:rsid w:val="00762F68"/>
    <w:rsid w:val="007632EB"/>
    <w:rsid w:val="00764325"/>
    <w:rsid w:val="007646A7"/>
    <w:rsid w:val="007646A8"/>
    <w:rsid w:val="00764784"/>
    <w:rsid w:val="00764B20"/>
    <w:rsid w:val="00764BCD"/>
    <w:rsid w:val="007650A3"/>
    <w:rsid w:val="007653A1"/>
    <w:rsid w:val="007654E7"/>
    <w:rsid w:val="00765976"/>
    <w:rsid w:val="00765C90"/>
    <w:rsid w:val="00766529"/>
    <w:rsid w:val="00766DAC"/>
    <w:rsid w:val="00767046"/>
    <w:rsid w:val="007670A0"/>
    <w:rsid w:val="0076720A"/>
    <w:rsid w:val="007673BA"/>
    <w:rsid w:val="007701FF"/>
    <w:rsid w:val="00770460"/>
    <w:rsid w:val="00770BE0"/>
    <w:rsid w:val="00770C69"/>
    <w:rsid w:val="00770D45"/>
    <w:rsid w:val="00770F75"/>
    <w:rsid w:val="007717EF"/>
    <w:rsid w:val="00771B33"/>
    <w:rsid w:val="00771D17"/>
    <w:rsid w:val="007723A9"/>
    <w:rsid w:val="00772EF7"/>
    <w:rsid w:val="00773005"/>
    <w:rsid w:val="0077331B"/>
    <w:rsid w:val="00773584"/>
    <w:rsid w:val="00773E95"/>
    <w:rsid w:val="00774149"/>
    <w:rsid w:val="0077438C"/>
    <w:rsid w:val="00774851"/>
    <w:rsid w:val="00774CEF"/>
    <w:rsid w:val="00774EB2"/>
    <w:rsid w:val="007754FB"/>
    <w:rsid w:val="00775795"/>
    <w:rsid w:val="007757A1"/>
    <w:rsid w:val="00775AE7"/>
    <w:rsid w:val="00775CD5"/>
    <w:rsid w:val="0077629F"/>
    <w:rsid w:val="00776312"/>
    <w:rsid w:val="0077644C"/>
    <w:rsid w:val="0077695E"/>
    <w:rsid w:val="00776A3C"/>
    <w:rsid w:val="00776C4D"/>
    <w:rsid w:val="0077719B"/>
    <w:rsid w:val="0077771B"/>
    <w:rsid w:val="00777852"/>
    <w:rsid w:val="00777865"/>
    <w:rsid w:val="007779FF"/>
    <w:rsid w:val="00777A3F"/>
    <w:rsid w:val="00777B7D"/>
    <w:rsid w:val="00777CDA"/>
    <w:rsid w:val="00777E14"/>
    <w:rsid w:val="00777E4F"/>
    <w:rsid w:val="00777E5A"/>
    <w:rsid w:val="00777F2C"/>
    <w:rsid w:val="00777FE4"/>
    <w:rsid w:val="007803D5"/>
    <w:rsid w:val="00780579"/>
    <w:rsid w:val="0078077D"/>
    <w:rsid w:val="0078121C"/>
    <w:rsid w:val="00781B68"/>
    <w:rsid w:val="007823A1"/>
    <w:rsid w:val="0078243E"/>
    <w:rsid w:val="007824ED"/>
    <w:rsid w:val="0078282E"/>
    <w:rsid w:val="00782C4C"/>
    <w:rsid w:val="007831DB"/>
    <w:rsid w:val="00783498"/>
    <w:rsid w:val="00783554"/>
    <w:rsid w:val="00783A14"/>
    <w:rsid w:val="00783B37"/>
    <w:rsid w:val="00783FEC"/>
    <w:rsid w:val="00784018"/>
    <w:rsid w:val="00784123"/>
    <w:rsid w:val="0078426D"/>
    <w:rsid w:val="0078497C"/>
    <w:rsid w:val="007853C9"/>
    <w:rsid w:val="00785860"/>
    <w:rsid w:val="00785C77"/>
    <w:rsid w:val="00785DD5"/>
    <w:rsid w:val="007864F8"/>
    <w:rsid w:val="0078653F"/>
    <w:rsid w:val="00786555"/>
    <w:rsid w:val="007867A8"/>
    <w:rsid w:val="00786C22"/>
    <w:rsid w:val="00787191"/>
    <w:rsid w:val="007871C9"/>
    <w:rsid w:val="007871CA"/>
    <w:rsid w:val="00787644"/>
    <w:rsid w:val="0078766B"/>
    <w:rsid w:val="00787876"/>
    <w:rsid w:val="00787A71"/>
    <w:rsid w:val="00787A87"/>
    <w:rsid w:val="00787AB8"/>
    <w:rsid w:val="00787BCD"/>
    <w:rsid w:val="00787C18"/>
    <w:rsid w:val="00787D82"/>
    <w:rsid w:val="00787E2D"/>
    <w:rsid w:val="007900AD"/>
    <w:rsid w:val="0079060A"/>
    <w:rsid w:val="007909B3"/>
    <w:rsid w:val="00790C1B"/>
    <w:rsid w:val="00791A8D"/>
    <w:rsid w:val="00791AB5"/>
    <w:rsid w:val="00791B67"/>
    <w:rsid w:val="00791BE2"/>
    <w:rsid w:val="0079235B"/>
    <w:rsid w:val="0079264A"/>
    <w:rsid w:val="0079282A"/>
    <w:rsid w:val="00792C53"/>
    <w:rsid w:val="00793356"/>
    <w:rsid w:val="00793494"/>
    <w:rsid w:val="007937FA"/>
    <w:rsid w:val="00793B44"/>
    <w:rsid w:val="00793F0E"/>
    <w:rsid w:val="00794012"/>
    <w:rsid w:val="00794145"/>
    <w:rsid w:val="007943E7"/>
    <w:rsid w:val="00794508"/>
    <w:rsid w:val="00794887"/>
    <w:rsid w:val="007949EA"/>
    <w:rsid w:val="00794B85"/>
    <w:rsid w:val="00794E34"/>
    <w:rsid w:val="00795161"/>
    <w:rsid w:val="00795204"/>
    <w:rsid w:val="00795351"/>
    <w:rsid w:val="0079546F"/>
    <w:rsid w:val="00795E4A"/>
    <w:rsid w:val="00796238"/>
    <w:rsid w:val="007963BC"/>
    <w:rsid w:val="00796703"/>
    <w:rsid w:val="007967F1"/>
    <w:rsid w:val="0079686B"/>
    <w:rsid w:val="00796D93"/>
    <w:rsid w:val="0079752E"/>
    <w:rsid w:val="00797728"/>
    <w:rsid w:val="00797C8C"/>
    <w:rsid w:val="00797CBE"/>
    <w:rsid w:val="00797DB8"/>
    <w:rsid w:val="00797E65"/>
    <w:rsid w:val="00797F34"/>
    <w:rsid w:val="007A008E"/>
    <w:rsid w:val="007A02EF"/>
    <w:rsid w:val="007A04F9"/>
    <w:rsid w:val="007A0760"/>
    <w:rsid w:val="007A07CF"/>
    <w:rsid w:val="007A0CA3"/>
    <w:rsid w:val="007A14FE"/>
    <w:rsid w:val="007A15E9"/>
    <w:rsid w:val="007A1671"/>
    <w:rsid w:val="007A1743"/>
    <w:rsid w:val="007A21DD"/>
    <w:rsid w:val="007A232B"/>
    <w:rsid w:val="007A2620"/>
    <w:rsid w:val="007A316C"/>
    <w:rsid w:val="007A3563"/>
    <w:rsid w:val="007A35CC"/>
    <w:rsid w:val="007A36E1"/>
    <w:rsid w:val="007A39CA"/>
    <w:rsid w:val="007A3DA6"/>
    <w:rsid w:val="007A4BD9"/>
    <w:rsid w:val="007A5094"/>
    <w:rsid w:val="007A5337"/>
    <w:rsid w:val="007A5535"/>
    <w:rsid w:val="007A6247"/>
    <w:rsid w:val="007A666B"/>
    <w:rsid w:val="007A67EA"/>
    <w:rsid w:val="007A69CE"/>
    <w:rsid w:val="007A70F9"/>
    <w:rsid w:val="007A7295"/>
    <w:rsid w:val="007A7444"/>
    <w:rsid w:val="007A7558"/>
    <w:rsid w:val="007A7972"/>
    <w:rsid w:val="007B0F20"/>
    <w:rsid w:val="007B0F2C"/>
    <w:rsid w:val="007B0FA0"/>
    <w:rsid w:val="007B1296"/>
    <w:rsid w:val="007B1C2C"/>
    <w:rsid w:val="007B1D2E"/>
    <w:rsid w:val="007B21B2"/>
    <w:rsid w:val="007B244B"/>
    <w:rsid w:val="007B2B37"/>
    <w:rsid w:val="007B2C76"/>
    <w:rsid w:val="007B2E06"/>
    <w:rsid w:val="007B2FEA"/>
    <w:rsid w:val="007B30E5"/>
    <w:rsid w:val="007B376B"/>
    <w:rsid w:val="007B3ABD"/>
    <w:rsid w:val="007B3DBF"/>
    <w:rsid w:val="007B444F"/>
    <w:rsid w:val="007B4A8F"/>
    <w:rsid w:val="007B4E61"/>
    <w:rsid w:val="007B511B"/>
    <w:rsid w:val="007B54D7"/>
    <w:rsid w:val="007B551D"/>
    <w:rsid w:val="007B5527"/>
    <w:rsid w:val="007B59E0"/>
    <w:rsid w:val="007B5B7B"/>
    <w:rsid w:val="007B5F0C"/>
    <w:rsid w:val="007B6E8D"/>
    <w:rsid w:val="007B735E"/>
    <w:rsid w:val="007B77EA"/>
    <w:rsid w:val="007C0348"/>
    <w:rsid w:val="007C06B3"/>
    <w:rsid w:val="007C07DE"/>
    <w:rsid w:val="007C1046"/>
    <w:rsid w:val="007C1309"/>
    <w:rsid w:val="007C1B86"/>
    <w:rsid w:val="007C2227"/>
    <w:rsid w:val="007C2326"/>
    <w:rsid w:val="007C2749"/>
    <w:rsid w:val="007C2BCE"/>
    <w:rsid w:val="007C2C84"/>
    <w:rsid w:val="007C3307"/>
    <w:rsid w:val="007C34AA"/>
    <w:rsid w:val="007C37E8"/>
    <w:rsid w:val="007C3930"/>
    <w:rsid w:val="007C3A6A"/>
    <w:rsid w:val="007C4080"/>
    <w:rsid w:val="007C43C5"/>
    <w:rsid w:val="007C48E7"/>
    <w:rsid w:val="007C4EB3"/>
    <w:rsid w:val="007C5A85"/>
    <w:rsid w:val="007C5DD9"/>
    <w:rsid w:val="007C6095"/>
    <w:rsid w:val="007C61D6"/>
    <w:rsid w:val="007C61F3"/>
    <w:rsid w:val="007C630D"/>
    <w:rsid w:val="007C68F1"/>
    <w:rsid w:val="007C72E0"/>
    <w:rsid w:val="007C761F"/>
    <w:rsid w:val="007C7E6C"/>
    <w:rsid w:val="007C7F27"/>
    <w:rsid w:val="007D02E2"/>
    <w:rsid w:val="007D0697"/>
    <w:rsid w:val="007D08E3"/>
    <w:rsid w:val="007D0980"/>
    <w:rsid w:val="007D0CEA"/>
    <w:rsid w:val="007D106D"/>
    <w:rsid w:val="007D17B0"/>
    <w:rsid w:val="007D1A55"/>
    <w:rsid w:val="007D1EA0"/>
    <w:rsid w:val="007D1F51"/>
    <w:rsid w:val="007D22E8"/>
    <w:rsid w:val="007D25F7"/>
    <w:rsid w:val="007D2AFC"/>
    <w:rsid w:val="007D2DB9"/>
    <w:rsid w:val="007D3453"/>
    <w:rsid w:val="007D37DB"/>
    <w:rsid w:val="007D3C49"/>
    <w:rsid w:val="007D4094"/>
    <w:rsid w:val="007D419F"/>
    <w:rsid w:val="007D41BD"/>
    <w:rsid w:val="007D423E"/>
    <w:rsid w:val="007D5023"/>
    <w:rsid w:val="007D5588"/>
    <w:rsid w:val="007D579B"/>
    <w:rsid w:val="007D5B1C"/>
    <w:rsid w:val="007D5E7D"/>
    <w:rsid w:val="007D62BD"/>
    <w:rsid w:val="007D67C1"/>
    <w:rsid w:val="007D6A35"/>
    <w:rsid w:val="007D749D"/>
    <w:rsid w:val="007D77D2"/>
    <w:rsid w:val="007D7C00"/>
    <w:rsid w:val="007D7D5E"/>
    <w:rsid w:val="007E00DD"/>
    <w:rsid w:val="007E0144"/>
    <w:rsid w:val="007E01D8"/>
    <w:rsid w:val="007E0528"/>
    <w:rsid w:val="007E09C3"/>
    <w:rsid w:val="007E0DC8"/>
    <w:rsid w:val="007E0E03"/>
    <w:rsid w:val="007E0F95"/>
    <w:rsid w:val="007E1694"/>
    <w:rsid w:val="007E175C"/>
    <w:rsid w:val="007E1A97"/>
    <w:rsid w:val="007E1B5D"/>
    <w:rsid w:val="007E1EEE"/>
    <w:rsid w:val="007E28E2"/>
    <w:rsid w:val="007E2ACD"/>
    <w:rsid w:val="007E2B23"/>
    <w:rsid w:val="007E300D"/>
    <w:rsid w:val="007E30A7"/>
    <w:rsid w:val="007E318B"/>
    <w:rsid w:val="007E31AD"/>
    <w:rsid w:val="007E3481"/>
    <w:rsid w:val="007E3FC9"/>
    <w:rsid w:val="007E4008"/>
    <w:rsid w:val="007E45D6"/>
    <w:rsid w:val="007E4ACE"/>
    <w:rsid w:val="007E4AFA"/>
    <w:rsid w:val="007E4B22"/>
    <w:rsid w:val="007E4EA5"/>
    <w:rsid w:val="007E579B"/>
    <w:rsid w:val="007E5AA1"/>
    <w:rsid w:val="007E5B1F"/>
    <w:rsid w:val="007E5CC9"/>
    <w:rsid w:val="007E606F"/>
    <w:rsid w:val="007E6776"/>
    <w:rsid w:val="007E67BA"/>
    <w:rsid w:val="007E6B72"/>
    <w:rsid w:val="007E6F6E"/>
    <w:rsid w:val="007E76F5"/>
    <w:rsid w:val="007E7A0B"/>
    <w:rsid w:val="007F0136"/>
    <w:rsid w:val="007F056E"/>
    <w:rsid w:val="007F0914"/>
    <w:rsid w:val="007F0B15"/>
    <w:rsid w:val="007F0DB3"/>
    <w:rsid w:val="007F1249"/>
    <w:rsid w:val="007F1612"/>
    <w:rsid w:val="007F1BD3"/>
    <w:rsid w:val="007F1BEA"/>
    <w:rsid w:val="007F23E3"/>
    <w:rsid w:val="007F2665"/>
    <w:rsid w:val="007F2921"/>
    <w:rsid w:val="007F2E4B"/>
    <w:rsid w:val="007F309A"/>
    <w:rsid w:val="007F33D0"/>
    <w:rsid w:val="007F3494"/>
    <w:rsid w:val="007F3979"/>
    <w:rsid w:val="007F423A"/>
    <w:rsid w:val="007F4536"/>
    <w:rsid w:val="007F4F5C"/>
    <w:rsid w:val="007F4F62"/>
    <w:rsid w:val="007F5237"/>
    <w:rsid w:val="007F53E6"/>
    <w:rsid w:val="007F5722"/>
    <w:rsid w:val="007F6550"/>
    <w:rsid w:val="007F678F"/>
    <w:rsid w:val="007F67FD"/>
    <w:rsid w:val="007F693E"/>
    <w:rsid w:val="007F6C40"/>
    <w:rsid w:val="007F71E8"/>
    <w:rsid w:val="00800530"/>
    <w:rsid w:val="0080053E"/>
    <w:rsid w:val="0080137E"/>
    <w:rsid w:val="00801556"/>
    <w:rsid w:val="008018E7"/>
    <w:rsid w:val="00801C4D"/>
    <w:rsid w:val="00802A2E"/>
    <w:rsid w:val="00802B36"/>
    <w:rsid w:val="00802C1A"/>
    <w:rsid w:val="00802DB9"/>
    <w:rsid w:val="00803691"/>
    <w:rsid w:val="00803BED"/>
    <w:rsid w:val="00803D90"/>
    <w:rsid w:val="00803DC1"/>
    <w:rsid w:val="008040AB"/>
    <w:rsid w:val="008043DD"/>
    <w:rsid w:val="008047A0"/>
    <w:rsid w:val="00804852"/>
    <w:rsid w:val="00804D16"/>
    <w:rsid w:val="008056BB"/>
    <w:rsid w:val="008057F5"/>
    <w:rsid w:val="00805927"/>
    <w:rsid w:val="00805D6A"/>
    <w:rsid w:val="00806202"/>
    <w:rsid w:val="00806CB6"/>
    <w:rsid w:val="00806F66"/>
    <w:rsid w:val="00806FF1"/>
    <w:rsid w:val="00807221"/>
    <w:rsid w:val="00807435"/>
    <w:rsid w:val="008075AC"/>
    <w:rsid w:val="00807C23"/>
    <w:rsid w:val="00807D52"/>
    <w:rsid w:val="00807F3A"/>
    <w:rsid w:val="00807FBA"/>
    <w:rsid w:val="0081025D"/>
    <w:rsid w:val="00810471"/>
    <w:rsid w:val="008110FE"/>
    <w:rsid w:val="00811798"/>
    <w:rsid w:val="00811F00"/>
    <w:rsid w:val="0081246F"/>
    <w:rsid w:val="00812962"/>
    <w:rsid w:val="008129F7"/>
    <w:rsid w:val="00812B34"/>
    <w:rsid w:val="00812C22"/>
    <w:rsid w:val="00812C50"/>
    <w:rsid w:val="00812CC9"/>
    <w:rsid w:val="00812F4A"/>
    <w:rsid w:val="008136AB"/>
    <w:rsid w:val="0081372A"/>
    <w:rsid w:val="00813872"/>
    <w:rsid w:val="008138B3"/>
    <w:rsid w:val="00813993"/>
    <w:rsid w:val="00814244"/>
    <w:rsid w:val="008148BA"/>
    <w:rsid w:val="00814B2F"/>
    <w:rsid w:val="00814EB4"/>
    <w:rsid w:val="00814F01"/>
    <w:rsid w:val="00814F79"/>
    <w:rsid w:val="00815347"/>
    <w:rsid w:val="0081545E"/>
    <w:rsid w:val="00815610"/>
    <w:rsid w:val="00815CAA"/>
    <w:rsid w:val="0081634B"/>
    <w:rsid w:val="008163D3"/>
    <w:rsid w:val="00816405"/>
    <w:rsid w:val="008164DC"/>
    <w:rsid w:val="00816CA0"/>
    <w:rsid w:val="00816D5F"/>
    <w:rsid w:val="00817AC3"/>
    <w:rsid w:val="00820274"/>
    <w:rsid w:val="0082045C"/>
    <w:rsid w:val="008205DB"/>
    <w:rsid w:val="00820CA1"/>
    <w:rsid w:val="008210A2"/>
    <w:rsid w:val="00821437"/>
    <w:rsid w:val="00821511"/>
    <w:rsid w:val="00821720"/>
    <w:rsid w:val="0082192C"/>
    <w:rsid w:val="00821C18"/>
    <w:rsid w:val="00821E54"/>
    <w:rsid w:val="00822DBD"/>
    <w:rsid w:val="00822F8A"/>
    <w:rsid w:val="0082327B"/>
    <w:rsid w:val="008232A8"/>
    <w:rsid w:val="00823B73"/>
    <w:rsid w:val="00823F9C"/>
    <w:rsid w:val="008241F2"/>
    <w:rsid w:val="0082486A"/>
    <w:rsid w:val="00825122"/>
    <w:rsid w:val="00825202"/>
    <w:rsid w:val="008253ED"/>
    <w:rsid w:val="0082544E"/>
    <w:rsid w:val="0082562B"/>
    <w:rsid w:val="00825958"/>
    <w:rsid w:val="00826156"/>
    <w:rsid w:val="00826232"/>
    <w:rsid w:val="0082697D"/>
    <w:rsid w:val="00826CC5"/>
    <w:rsid w:val="00826EBA"/>
    <w:rsid w:val="00827063"/>
    <w:rsid w:val="00827365"/>
    <w:rsid w:val="0082753D"/>
    <w:rsid w:val="00827610"/>
    <w:rsid w:val="0082763E"/>
    <w:rsid w:val="00827AA1"/>
    <w:rsid w:val="00827CE7"/>
    <w:rsid w:val="00827DF4"/>
    <w:rsid w:val="00827E06"/>
    <w:rsid w:val="00830114"/>
    <w:rsid w:val="00830337"/>
    <w:rsid w:val="0083041F"/>
    <w:rsid w:val="008305C9"/>
    <w:rsid w:val="008309D8"/>
    <w:rsid w:val="00830B9F"/>
    <w:rsid w:val="00830D75"/>
    <w:rsid w:val="00831B76"/>
    <w:rsid w:val="00831E9B"/>
    <w:rsid w:val="00832174"/>
    <w:rsid w:val="008321DD"/>
    <w:rsid w:val="0083240D"/>
    <w:rsid w:val="008328B0"/>
    <w:rsid w:val="00832A03"/>
    <w:rsid w:val="00832BAB"/>
    <w:rsid w:val="00832C36"/>
    <w:rsid w:val="00833093"/>
    <w:rsid w:val="00833507"/>
    <w:rsid w:val="0083355F"/>
    <w:rsid w:val="00833B82"/>
    <w:rsid w:val="00834369"/>
    <w:rsid w:val="00834413"/>
    <w:rsid w:val="00834FB9"/>
    <w:rsid w:val="00835475"/>
    <w:rsid w:val="00835568"/>
    <w:rsid w:val="008357E7"/>
    <w:rsid w:val="00835E67"/>
    <w:rsid w:val="00836740"/>
    <w:rsid w:val="008367A4"/>
    <w:rsid w:val="00836A1B"/>
    <w:rsid w:val="00836E2A"/>
    <w:rsid w:val="008376EF"/>
    <w:rsid w:val="00837C11"/>
    <w:rsid w:val="008401CD"/>
    <w:rsid w:val="008402F4"/>
    <w:rsid w:val="008405A0"/>
    <w:rsid w:val="00841502"/>
    <w:rsid w:val="0084154A"/>
    <w:rsid w:val="008417C2"/>
    <w:rsid w:val="00841844"/>
    <w:rsid w:val="00842806"/>
    <w:rsid w:val="0084280C"/>
    <w:rsid w:val="00842A10"/>
    <w:rsid w:val="00842C57"/>
    <w:rsid w:val="00843148"/>
    <w:rsid w:val="0084339F"/>
    <w:rsid w:val="00843523"/>
    <w:rsid w:val="008436EF"/>
    <w:rsid w:val="00843857"/>
    <w:rsid w:val="00843DC3"/>
    <w:rsid w:val="00843EF3"/>
    <w:rsid w:val="00843FA8"/>
    <w:rsid w:val="008442EE"/>
    <w:rsid w:val="0084445B"/>
    <w:rsid w:val="00844A32"/>
    <w:rsid w:val="008455D1"/>
    <w:rsid w:val="0084567A"/>
    <w:rsid w:val="0084568C"/>
    <w:rsid w:val="00845A41"/>
    <w:rsid w:val="00845D5C"/>
    <w:rsid w:val="00845ECD"/>
    <w:rsid w:val="00846054"/>
    <w:rsid w:val="0084616C"/>
    <w:rsid w:val="00846D74"/>
    <w:rsid w:val="008470E3"/>
    <w:rsid w:val="00847FF6"/>
    <w:rsid w:val="0085029C"/>
    <w:rsid w:val="008504B7"/>
    <w:rsid w:val="00850E55"/>
    <w:rsid w:val="00851520"/>
    <w:rsid w:val="008519D4"/>
    <w:rsid w:val="00851ED7"/>
    <w:rsid w:val="00851FCA"/>
    <w:rsid w:val="0085217E"/>
    <w:rsid w:val="008521A6"/>
    <w:rsid w:val="00852560"/>
    <w:rsid w:val="008526D8"/>
    <w:rsid w:val="00852862"/>
    <w:rsid w:val="00852AF6"/>
    <w:rsid w:val="00852B5C"/>
    <w:rsid w:val="0085449B"/>
    <w:rsid w:val="008545AA"/>
    <w:rsid w:val="00854667"/>
    <w:rsid w:val="008546E9"/>
    <w:rsid w:val="00854B16"/>
    <w:rsid w:val="00855779"/>
    <w:rsid w:val="00855B41"/>
    <w:rsid w:val="00855E99"/>
    <w:rsid w:val="00856081"/>
    <w:rsid w:val="00857324"/>
    <w:rsid w:val="00857A8F"/>
    <w:rsid w:val="00857D59"/>
    <w:rsid w:val="00857F90"/>
    <w:rsid w:val="00860377"/>
    <w:rsid w:val="008605DA"/>
    <w:rsid w:val="00860EFA"/>
    <w:rsid w:val="00861036"/>
    <w:rsid w:val="0086134D"/>
    <w:rsid w:val="008613E3"/>
    <w:rsid w:val="008618FA"/>
    <w:rsid w:val="00861F3F"/>
    <w:rsid w:val="008620B6"/>
    <w:rsid w:val="008623C9"/>
    <w:rsid w:val="00862464"/>
    <w:rsid w:val="00862E96"/>
    <w:rsid w:val="008633F8"/>
    <w:rsid w:val="00863507"/>
    <w:rsid w:val="00863A37"/>
    <w:rsid w:val="008640BD"/>
    <w:rsid w:val="00864998"/>
    <w:rsid w:val="00864BE1"/>
    <w:rsid w:val="00864F6A"/>
    <w:rsid w:val="00865232"/>
    <w:rsid w:val="008655D1"/>
    <w:rsid w:val="008667A0"/>
    <w:rsid w:val="008669C7"/>
    <w:rsid w:val="00866C42"/>
    <w:rsid w:val="00866CD2"/>
    <w:rsid w:val="00866E7D"/>
    <w:rsid w:val="00867E14"/>
    <w:rsid w:val="008703EC"/>
    <w:rsid w:val="00870580"/>
    <w:rsid w:val="00870653"/>
    <w:rsid w:val="008713BF"/>
    <w:rsid w:val="0087143C"/>
    <w:rsid w:val="00871A64"/>
    <w:rsid w:val="00872500"/>
    <w:rsid w:val="00872CCF"/>
    <w:rsid w:val="00872D3C"/>
    <w:rsid w:val="008735B9"/>
    <w:rsid w:val="008736BB"/>
    <w:rsid w:val="0087397B"/>
    <w:rsid w:val="00873FF1"/>
    <w:rsid w:val="0087459A"/>
    <w:rsid w:val="00874D48"/>
    <w:rsid w:val="008750A3"/>
    <w:rsid w:val="00875600"/>
    <w:rsid w:val="00875970"/>
    <w:rsid w:val="00876104"/>
    <w:rsid w:val="00876193"/>
    <w:rsid w:val="008761EE"/>
    <w:rsid w:val="008764F1"/>
    <w:rsid w:val="0087690A"/>
    <w:rsid w:val="00876B2A"/>
    <w:rsid w:val="00877415"/>
    <w:rsid w:val="0087749F"/>
    <w:rsid w:val="00877850"/>
    <w:rsid w:val="008779AE"/>
    <w:rsid w:val="00877E25"/>
    <w:rsid w:val="00877F8A"/>
    <w:rsid w:val="0088019E"/>
    <w:rsid w:val="008807F3"/>
    <w:rsid w:val="00880CD8"/>
    <w:rsid w:val="00880D90"/>
    <w:rsid w:val="00880EED"/>
    <w:rsid w:val="00880EFD"/>
    <w:rsid w:val="00881337"/>
    <w:rsid w:val="008813EA"/>
    <w:rsid w:val="008814BD"/>
    <w:rsid w:val="0088165A"/>
    <w:rsid w:val="00881A0D"/>
    <w:rsid w:val="008822DC"/>
    <w:rsid w:val="008828B1"/>
    <w:rsid w:val="00882BB0"/>
    <w:rsid w:val="00882EBD"/>
    <w:rsid w:val="008844CC"/>
    <w:rsid w:val="00884539"/>
    <w:rsid w:val="00884847"/>
    <w:rsid w:val="00885172"/>
    <w:rsid w:val="008851B3"/>
    <w:rsid w:val="0088568B"/>
    <w:rsid w:val="008856A3"/>
    <w:rsid w:val="0088575E"/>
    <w:rsid w:val="00885A07"/>
    <w:rsid w:val="00885B6B"/>
    <w:rsid w:val="00886267"/>
    <w:rsid w:val="00886367"/>
    <w:rsid w:val="008868CB"/>
    <w:rsid w:val="00886AF1"/>
    <w:rsid w:val="00886E02"/>
    <w:rsid w:val="00886FEC"/>
    <w:rsid w:val="008870C8"/>
    <w:rsid w:val="00887E67"/>
    <w:rsid w:val="0089084A"/>
    <w:rsid w:val="00890C26"/>
    <w:rsid w:val="00891093"/>
    <w:rsid w:val="0089113F"/>
    <w:rsid w:val="00891525"/>
    <w:rsid w:val="00891A76"/>
    <w:rsid w:val="00891BB9"/>
    <w:rsid w:val="00892742"/>
    <w:rsid w:val="0089297B"/>
    <w:rsid w:val="00892BF7"/>
    <w:rsid w:val="00892FC2"/>
    <w:rsid w:val="008930ED"/>
    <w:rsid w:val="0089335D"/>
    <w:rsid w:val="008933C2"/>
    <w:rsid w:val="008936DC"/>
    <w:rsid w:val="00893A6F"/>
    <w:rsid w:val="00894279"/>
    <w:rsid w:val="008945AB"/>
    <w:rsid w:val="00894F7B"/>
    <w:rsid w:val="00895044"/>
    <w:rsid w:val="0089599D"/>
    <w:rsid w:val="00895A13"/>
    <w:rsid w:val="00895DB3"/>
    <w:rsid w:val="00896008"/>
    <w:rsid w:val="008962D6"/>
    <w:rsid w:val="008968A5"/>
    <w:rsid w:val="008969F9"/>
    <w:rsid w:val="00896B0F"/>
    <w:rsid w:val="00896BEB"/>
    <w:rsid w:val="008971AF"/>
    <w:rsid w:val="008972B4"/>
    <w:rsid w:val="0089754F"/>
    <w:rsid w:val="00897FE2"/>
    <w:rsid w:val="008A03B4"/>
    <w:rsid w:val="008A10EA"/>
    <w:rsid w:val="008A1D51"/>
    <w:rsid w:val="008A1DE3"/>
    <w:rsid w:val="008A24E1"/>
    <w:rsid w:val="008A2722"/>
    <w:rsid w:val="008A2765"/>
    <w:rsid w:val="008A29EF"/>
    <w:rsid w:val="008A2BB7"/>
    <w:rsid w:val="008A2CC0"/>
    <w:rsid w:val="008A30E0"/>
    <w:rsid w:val="008A31D5"/>
    <w:rsid w:val="008A3240"/>
    <w:rsid w:val="008A3472"/>
    <w:rsid w:val="008A3715"/>
    <w:rsid w:val="008A3AE9"/>
    <w:rsid w:val="008A4BFA"/>
    <w:rsid w:val="008A5824"/>
    <w:rsid w:val="008A5AAB"/>
    <w:rsid w:val="008A5C17"/>
    <w:rsid w:val="008A5C7E"/>
    <w:rsid w:val="008A5F8B"/>
    <w:rsid w:val="008A60B9"/>
    <w:rsid w:val="008A60BF"/>
    <w:rsid w:val="008A6602"/>
    <w:rsid w:val="008A6D14"/>
    <w:rsid w:val="008A6FC4"/>
    <w:rsid w:val="008A7660"/>
    <w:rsid w:val="008A7B81"/>
    <w:rsid w:val="008A7CB5"/>
    <w:rsid w:val="008B0E0B"/>
    <w:rsid w:val="008B0F4C"/>
    <w:rsid w:val="008B1203"/>
    <w:rsid w:val="008B122E"/>
    <w:rsid w:val="008B1808"/>
    <w:rsid w:val="008B2156"/>
    <w:rsid w:val="008B2C75"/>
    <w:rsid w:val="008B2E7E"/>
    <w:rsid w:val="008B3246"/>
    <w:rsid w:val="008B366A"/>
    <w:rsid w:val="008B3785"/>
    <w:rsid w:val="008B4731"/>
    <w:rsid w:val="008B47E3"/>
    <w:rsid w:val="008B4C85"/>
    <w:rsid w:val="008B4E73"/>
    <w:rsid w:val="008B4FF3"/>
    <w:rsid w:val="008B50D9"/>
    <w:rsid w:val="008B52EE"/>
    <w:rsid w:val="008B544B"/>
    <w:rsid w:val="008B564F"/>
    <w:rsid w:val="008B5D30"/>
    <w:rsid w:val="008B5D90"/>
    <w:rsid w:val="008B6464"/>
    <w:rsid w:val="008B649A"/>
    <w:rsid w:val="008B6677"/>
    <w:rsid w:val="008B6D70"/>
    <w:rsid w:val="008B77B3"/>
    <w:rsid w:val="008B7AFD"/>
    <w:rsid w:val="008C028D"/>
    <w:rsid w:val="008C05C0"/>
    <w:rsid w:val="008C08B5"/>
    <w:rsid w:val="008C1C5B"/>
    <w:rsid w:val="008C2132"/>
    <w:rsid w:val="008C23B2"/>
    <w:rsid w:val="008C2D11"/>
    <w:rsid w:val="008C30D0"/>
    <w:rsid w:val="008C3528"/>
    <w:rsid w:val="008C375C"/>
    <w:rsid w:val="008C38A6"/>
    <w:rsid w:val="008C3B04"/>
    <w:rsid w:val="008C3C1E"/>
    <w:rsid w:val="008C3D52"/>
    <w:rsid w:val="008C3FDC"/>
    <w:rsid w:val="008C4286"/>
    <w:rsid w:val="008C431A"/>
    <w:rsid w:val="008C489C"/>
    <w:rsid w:val="008C4A7D"/>
    <w:rsid w:val="008C4F22"/>
    <w:rsid w:val="008C5037"/>
    <w:rsid w:val="008C57D4"/>
    <w:rsid w:val="008C58B0"/>
    <w:rsid w:val="008C59E2"/>
    <w:rsid w:val="008C59E9"/>
    <w:rsid w:val="008C600D"/>
    <w:rsid w:val="008C6167"/>
    <w:rsid w:val="008C6C74"/>
    <w:rsid w:val="008C6CF6"/>
    <w:rsid w:val="008C6F00"/>
    <w:rsid w:val="008C727A"/>
    <w:rsid w:val="008C7709"/>
    <w:rsid w:val="008C7B86"/>
    <w:rsid w:val="008D0533"/>
    <w:rsid w:val="008D0CC1"/>
    <w:rsid w:val="008D1133"/>
    <w:rsid w:val="008D1820"/>
    <w:rsid w:val="008D1905"/>
    <w:rsid w:val="008D19A3"/>
    <w:rsid w:val="008D1C58"/>
    <w:rsid w:val="008D2282"/>
    <w:rsid w:val="008D22FD"/>
    <w:rsid w:val="008D245D"/>
    <w:rsid w:val="008D2661"/>
    <w:rsid w:val="008D2A64"/>
    <w:rsid w:val="008D336A"/>
    <w:rsid w:val="008D352E"/>
    <w:rsid w:val="008D35DB"/>
    <w:rsid w:val="008D3869"/>
    <w:rsid w:val="008D391D"/>
    <w:rsid w:val="008D3E9C"/>
    <w:rsid w:val="008D4008"/>
    <w:rsid w:val="008D4876"/>
    <w:rsid w:val="008D5762"/>
    <w:rsid w:val="008D584F"/>
    <w:rsid w:val="008D59B4"/>
    <w:rsid w:val="008D5B56"/>
    <w:rsid w:val="008D5CCB"/>
    <w:rsid w:val="008D607D"/>
    <w:rsid w:val="008D6509"/>
    <w:rsid w:val="008D653B"/>
    <w:rsid w:val="008D656E"/>
    <w:rsid w:val="008D68BB"/>
    <w:rsid w:val="008D6B09"/>
    <w:rsid w:val="008D6EBD"/>
    <w:rsid w:val="008D7C09"/>
    <w:rsid w:val="008D7C2C"/>
    <w:rsid w:val="008D7C89"/>
    <w:rsid w:val="008D7E5A"/>
    <w:rsid w:val="008E002A"/>
    <w:rsid w:val="008E0160"/>
    <w:rsid w:val="008E026C"/>
    <w:rsid w:val="008E04C4"/>
    <w:rsid w:val="008E06D2"/>
    <w:rsid w:val="008E09D2"/>
    <w:rsid w:val="008E0BA3"/>
    <w:rsid w:val="008E0CAE"/>
    <w:rsid w:val="008E0EAE"/>
    <w:rsid w:val="008E0FC0"/>
    <w:rsid w:val="008E1D11"/>
    <w:rsid w:val="008E1D6C"/>
    <w:rsid w:val="008E1EC3"/>
    <w:rsid w:val="008E2442"/>
    <w:rsid w:val="008E3822"/>
    <w:rsid w:val="008E3EC9"/>
    <w:rsid w:val="008E405C"/>
    <w:rsid w:val="008E4618"/>
    <w:rsid w:val="008E46DE"/>
    <w:rsid w:val="008E493A"/>
    <w:rsid w:val="008E4A52"/>
    <w:rsid w:val="008E4D9F"/>
    <w:rsid w:val="008E542C"/>
    <w:rsid w:val="008E55BE"/>
    <w:rsid w:val="008E5B6A"/>
    <w:rsid w:val="008E5D98"/>
    <w:rsid w:val="008E6138"/>
    <w:rsid w:val="008E6688"/>
    <w:rsid w:val="008E6B74"/>
    <w:rsid w:val="008E6C14"/>
    <w:rsid w:val="008E6C9A"/>
    <w:rsid w:val="008E6E57"/>
    <w:rsid w:val="008E744E"/>
    <w:rsid w:val="008E75D8"/>
    <w:rsid w:val="008E7619"/>
    <w:rsid w:val="008E79D3"/>
    <w:rsid w:val="008E7E7E"/>
    <w:rsid w:val="008F0382"/>
    <w:rsid w:val="008F0C79"/>
    <w:rsid w:val="008F102A"/>
    <w:rsid w:val="008F131F"/>
    <w:rsid w:val="008F1666"/>
    <w:rsid w:val="008F1E3A"/>
    <w:rsid w:val="008F1F44"/>
    <w:rsid w:val="008F221A"/>
    <w:rsid w:val="008F25CD"/>
    <w:rsid w:val="008F25CE"/>
    <w:rsid w:val="008F2EA2"/>
    <w:rsid w:val="008F3E04"/>
    <w:rsid w:val="008F3FC2"/>
    <w:rsid w:val="008F41C6"/>
    <w:rsid w:val="008F41E4"/>
    <w:rsid w:val="008F44DD"/>
    <w:rsid w:val="008F4DEE"/>
    <w:rsid w:val="008F4E2E"/>
    <w:rsid w:val="008F4E44"/>
    <w:rsid w:val="008F52EB"/>
    <w:rsid w:val="008F56FE"/>
    <w:rsid w:val="008F5880"/>
    <w:rsid w:val="008F59EE"/>
    <w:rsid w:val="008F5C63"/>
    <w:rsid w:val="008F60BC"/>
    <w:rsid w:val="008F69E8"/>
    <w:rsid w:val="008F6A11"/>
    <w:rsid w:val="008F6E57"/>
    <w:rsid w:val="008F6EB7"/>
    <w:rsid w:val="008F72D9"/>
    <w:rsid w:val="008F7779"/>
    <w:rsid w:val="008F7C06"/>
    <w:rsid w:val="008F7D0C"/>
    <w:rsid w:val="008F7EA7"/>
    <w:rsid w:val="0090006F"/>
    <w:rsid w:val="00900262"/>
    <w:rsid w:val="0090074B"/>
    <w:rsid w:val="00900DFE"/>
    <w:rsid w:val="00900E20"/>
    <w:rsid w:val="00901346"/>
    <w:rsid w:val="0090156D"/>
    <w:rsid w:val="00901AE8"/>
    <w:rsid w:val="00901BCF"/>
    <w:rsid w:val="00902038"/>
    <w:rsid w:val="00902349"/>
    <w:rsid w:val="009031B7"/>
    <w:rsid w:val="00903FBF"/>
    <w:rsid w:val="00903FC1"/>
    <w:rsid w:val="0090445B"/>
    <w:rsid w:val="0090471F"/>
    <w:rsid w:val="00904D06"/>
    <w:rsid w:val="00905354"/>
    <w:rsid w:val="00905445"/>
    <w:rsid w:val="00905928"/>
    <w:rsid w:val="00905BE2"/>
    <w:rsid w:val="00905DE4"/>
    <w:rsid w:val="00905F67"/>
    <w:rsid w:val="00906295"/>
    <w:rsid w:val="009063DE"/>
    <w:rsid w:val="00906C1D"/>
    <w:rsid w:val="009075FA"/>
    <w:rsid w:val="00907788"/>
    <w:rsid w:val="00907802"/>
    <w:rsid w:val="00907836"/>
    <w:rsid w:val="00907AD7"/>
    <w:rsid w:val="00907BF8"/>
    <w:rsid w:val="00907D0F"/>
    <w:rsid w:val="00910252"/>
    <w:rsid w:val="009104C8"/>
    <w:rsid w:val="009105FE"/>
    <w:rsid w:val="009106B5"/>
    <w:rsid w:val="009107A9"/>
    <w:rsid w:val="0091088D"/>
    <w:rsid w:val="00910B9A"/>
    <w:rsid w:val="00910E2F"/>
    <w:rsid w:val="00910FC9"/>
    <w:rsid w:val="009110B9"/>
    <w:rsid w:val="0091144F"/>
    <w:rsid w:val="009115CF"/>
    <w:rsid w:val="00911AC2"/>
    <w:rsid w:val="009120AE"/>
    <w:rsid w:val="00912473"/>
    <w:rsid w:val="0091281B"/>
    <w:rsid w:val="00912C28"/>
    <w:rsid w:val="00912C9B"/>
    <w:rsid w:val="00913340"/>
    <w:rsid w:val="009136C4"/>
    <w:rsid w:val="00913827"/>
    <w:rsid w:val="009138F5"/>
    <w:rsid w:val="009140CE"/>
    <w:rsid w:val="00914811"/>
    <w:rsid w:val="009158CE"/>
    <w:rsid w:val="00915BDF"/>
    <w:rsid w:val="009162EA"/>
    <w:rsid w:val="00916306"/>
    <w:rsid w:val="0091673A"/>
    <w:rsid w:val="009167B7"/>
    <w:rsid w:val="00916D28"/>
    <w:rsid w:val="00920053"/>
    <w:rsid w:val="009200AF"/>
    <w:rsid w:val="009200B2"/>
    <w:rsid w:val="009207EE"/>
    <w:rsid w:val="00920E26"/>
    <w:rsid w:val="009217B5"/>
    <w:rsid w:val="00921935"/>
    <w:rsid w:val="0092196F"/>
    <w:rsid w:val="00921970"/>
    <w:rsid w:val="00921B6F"/>
    <w:rsid w:val="00921E5E"/>
    <w:rsid w:val="00921FAA"/>
    <w:rsid w:val="00922469"/>
    <w:rsid w:val="00922A2C"/>
    <w:rsid w:val="00922A8A"/>
    <w:rsid w:val="00922B9C"/>
    <w:rsid w:val="00923042"/>
    <w:rsid w:val="0092359B"/>
    <w:rsid w:val="0092362E"/>
    <w:rsid w:val="00923C7A"/>
    <w:rsid w:val="0092413B"/>
    <w:rsid w:val="00924454"/>
    <w:rsid w:val="00924849"/>
    <w:rsid w:val="00924A00"/>
    <w:rsid w:val="00924A76"/>
    <w:rsid w:val="00924B1C"/>
    <w:rsid w:val="00924D8E"/>
    <w:rsid w:val="00925057"/>
    <w:rsid w:val="00925110"/>
    <w:rsid w:val="00925163"/>
    <w:rsid w:val="009251C3"/>
    <w:rsid w:val="00925232"/>
    <w:rsid w:val="00925789"/>
    <w:rsid w:val="00925963"/>
    <w:rsid w:val="00926B3F"/>
    <w:rsid w:val="00926E21"/>
    <w:rsid w:val="0092728A"/>
    <w:rsid w:val="00927AC3"/>
    <w:rsid w:val="00930073"/>
    <w:rsid w:val="009302C6"/>
    <w:rsid w:val="0093049E"/>
    <w:rsid w:val="00930705"/>
    <w:rsid w:val="009309FA"/>
    <w:rsid w:val="00930B17"/>
    <w:rsid w:val="00930C8C"/>
    <w:rsid w:val="00930C97"/>
    <w:rsid w:val="00930DAA"/>
    <w:rsid w:val="00930F1F"/>
    <w:rsid w:val="00930FCD"/>
    <w:rsid w:val="00931083"/>
    <w:rsid w:val="00931828"/>
    <w:rsid w:val="009318D4"/>
    <w:rsid w:val="00931EC1"/>
    <w:rsid w:val="00931EC3"/>
    <w:rsid w:val="0093222C"/>
    <w:rsid w:val="00932952"/>
    <w:rsid w:val="00932B2D"/>
    <w:rsid w:val="00933373"/>
    <w:rsid w:val="009337DE"/>
    <w:rsid w:val="009337E3"/>
    <w:rsid w:val="00933E18"/>
    <w:rsid w:val="0093403B"/>
    <w:rsid w:val="009352CD"/>
    <w:rsid w:val="00935B3A"/>
    <w:rsid w:val="00935C3B"/>
    <w:rsid w:val="00935FFD"/>
    <w:rsid w:val="00936661"/>
    <w:rsid w:val="009366B9"/>
    <w:rsid w:val="00936C26"/>
    <w:rsid w:val="00936CC7"/>
    <w:rsid w:val="00937563"/>
    <w:rsid w:val="00937DEC"/>
    <w:rsid w:val="00937E15"/>
    <w:rsid w:val="00937EB6"/>
    <w:rsid w:val="009400C7"/>
    <w:rsid w:val="009406F9"/>
    <w:rsid w:val="00940AEB"/>
    <w:rsid w:val="00940B04"/>
    <w:rsid w:val="00940C84"/>
    <w:rsid w:val="00940E6B"/>
    <w:rsid w:val="00941FE7"/>
    <w:rsid w:val="0094209D"/>
    <w:rsid w:val="00942281"/>
    <w:rsid w:val="00942605"/>
    <w:rsid w:val="009429DE"/>
    <w:rsid w:val="00942BBC"/>
    <w:rsid w:val="00942FC8"/>
    <w:rsid w:val="009431BB"/>
    <w:rsid w:val="00943735"/>
    <w:rsid w:val="00943833"/>
    <w:rsid w:val="00943B30"/>
    <w:rsid w:val="0094410B"/>
    <w:rsid w:val="00944636"/>
    <w:rsid w:val="00944750"/>
    <w:rsid w:val="00944772"/>
    <w:rsid w:val="0094480C"/>
    <w:rsid w:val="00944A0A"/>
    <w:rsid w:val="00944AAF"/>
    <w:rsid w:val="00944CC5"/>
    <w:rsid w:val="00945263"/>
    <w:rsid w:val="00945318"/>
    <w:rsid w:val="009456C8"/>
    <w:rsid w:val="00945D3B"/>
    <w:rsid w:val="00945D92"/>
    <w:rsid w:val="00946035"/>
    <w:rsid w:val="0094621F"/>
    <w:rsid w:val="009466C4"/>
    <w:rsid w:val="009468A0"/>
    <w:rsid w:val="009469B0"/>
    <w:rsid w:val="00946D6D"/>
    <w:rsid w:val="00946E5F"/>
    <w:rsid w:val="00946FC3"/>
    <w:rsid w:val="00947023"/>
    <w:rsid w:val="0094720D"/>
    <w:rsid w:val="00947344"/>
    <w:rsid w:val="009474EE"/>
    <w:rsid w:val="009479BA"/>
    <w:rsid w:val="00947CD8"/>
    <w:rsid w:val="009500A1"/>
    <w:rsid w:val="0095069E"/>
    <w:rsid w:val="009508D5"/>
    <w:rsid w:val="00950F4C"/>
    <w:rsid w:val="009511C8"/>
    <w:rsid w:val="00951738"/>
    <w:rsid w:val="00951D5B"/>
    <w:rsid w:val="00952432"/>
    <w:rsid w:val="0095285A"/>
    <w:rsid w:val="00952C9E"/>
    <w:rsid w:val="00952D1A"/>
    <w:rsid w:val="00952DB1"/>
    <w:rsid w:val="00952FFD"/>
    <w:rsid w:val="0095381F"/>
    <w:rsid w:val="009538BF"/>
    <w:rsid w:val="00953973"/>
    <w:rsid w:val="00955679"/>
    <w:rsid w:val="00955766"/>
    <w:rsid w:val="0095576C"/>
    <w:rsid w:val="00955A27"/>
    <w:rsid w:val="009561B5"/>
    <w:rsid w:val="0095635D"/>
    <w:rsid w:val="00956747"/>
    <w:rsid w:val="009567D9"/>
    <w:rsid w:val="009569C3"/>
    <w:rsid w:val="00956E4B"/>
    <w:rsid w:val="009572F1"/>
    <w:rsid w:val="00957BD4"/>
    <w:rsid w:val="0096020F"/>
    <w:rsid w:val="0096022F"/>
    <w:rsid w:val="00960617"/>
    <w:rsid w:val="0096077A"/>
    <w:rsid w:val="009607D0"/>
    <w:rsid w:val="00960B74"/>
    <w:rsid w:val="00961391"/>
    <w:rsid w:val="00961425"/>
    <w:rsid w:val="009614E0"/>
    <w:rsid w:val="009614E8"/>
    <w:rsid w:val="00961684"/>
    <w:rsid w:val="009618A4"/>
    <w:rsid w:val="009618E2"/>
    <w:rsid w:val="009619CB"/>
    <w:rsid w:val="0096242A"/>
    <w:rsid w:val="0096262E"/>
    <w:rsid w:val="009627A0"/>
    <w:rsid w:val="00962C8A"/>
    <w:rsid w:val="009632C8"/>
    <w:rsid w:val="009639E6"/>
    <w:rsid w:val="00963A44"/>
    <w:rsid w:val="00963E3B"/>
    <w:rsid w:val="009645EC"/>
    <w:rsid w:val="00964BF0"/>
    <w:rsid w:val="00964D78"/>
    <w:rsid w:val="00965019"/>
    <w:rsid w:val="009654B7"/>
    <w:rsid w:val="00965741"/>
    <w:rsid w:val="00965A7A"/>
    <w:rsid w:val="0096610F"/>
    <w:rsid w:val="0096652A"/>
    <w:rsid w:val="009674E4"/>
    <w:rsid w:val="00967786"/>
    <w:rsid w:val="00967883"/>
    <w:rsid w:val="00967DFC"/>
    <w:rsid w:val="009701EB"/>
    <w:rsid w:val="00970827"/>
    <w:rsid w:val="00970DA9"/>
    <w:rsid w:val="00971098"/>
    <w:rsid w:val="009710F2"/>
    <w:rsid w:val="009712C3"/>
    <w:rsid w:val="00971397"/>
    <w:rsid w:val="009716B9"/>
    <w:rsid w:val="00971707"/>
    <w:rsid w:val="00971D73"/>
    <w:rsid w:val="009724F8"/>
    <w:rsid w:val="0097254B"/>
    <w:rsid w:val="00972C9A"/>
    <w:rsid w:val="00973371"/>
    <w:rsid w:val="009736D0"/>
    <w:rsid w:val="00973ABC"/>
    <w:rsid w:val="00973B95"/>
    <w:rsid w:val="00973CDF"/>
    <w:rsid w:val="009740F0"/>
    <w:rsid w:val="009745DE"/>
    <w:rsid w:val="009745FF"/>
    <w:rsid w:val="00974976"/>
    <w:rsid w:val="0097532B"/>
    <w:rsid w:val="00975349"/>
    <w:rsid w:val="0097552E"/>
    <w:rsid w:val="009759ED"/>
    <w:rsid w:val="00975D3F"/>
    <w:rsid w:val="00975FF0"/>
    <w:rsid w:val="009761B7"/>
    <w:rsid w:val="0097622B"/>
    <w:rsid w:val="0097630C"/>
    <w:rsid w:val="00976DFD"/>
    <w:rsid w:val="00976EC4"/>
    <w:rsid w:val="009772A8"/>
    <w:rsid w:val="00977586"/>
    <w:rsid w:val="0097774B"/>
    <w:rsid w:val="009777F1"/>
    <w:rsid w:val="009779F0"/>
    <w:rsid w:val="0098038A"/>
    <w:rsid w:val="00980BC3"/>
    <w:rsid w:val="00980E25"/>
    <w:rsid w:val="0098106B"/>
    <w:rsid w:val="009810C1"/>
    <w:rsid w:val="00981167"/>
    <w:rsid w:val="009814AC"/>
    <w:rsid w:val="009815C4"/>
    <w:rsid w:val="00981D7F"/>
    <w:rsid w:val="00982246"/>
    <w:rsid w:val="0098260D"/>
    <w:rsid w:val="00982CD1"/>
    <w:rsid w:val="00982D4C"/>
    <w:rsid w:val="00983454"/>
    <w:rsid w:val="009834B3"/>
    <w:rsid w:val="009834B4"/>
    <w:rsid w:val="00983795"/>
    <w:rsid w:val="00983D8D"/>
    <w:rsid w:val="00983EE1"/>
    <w:rsid w:val="00984C55"/>
    <w:rsid w:val="009852DE"/>
    <w:rsid w:val="009854F5"/>
    <w:rsid w:val="00985DAC"/>
    <w:rsid w:val="00985F16"/>
    <w:rsid w:val="00985F88"/>
    <w:rsid w:val="00985FFB"/>
    <w:rsid w:val="009861ED"/>
    <w:rsid w:val="00986263"/>
    <w:rsid w:val="00986613"/>
    <w:rsid w:val="009866C1"/>
    <w:rsid w:val="0098747D"/>
    <w:rsid w:val="0099023F"/>
    <w:rsid w:val="0099052A"/>
    <w:rsid w:val="00990620"/>
    <w:rsid w:val="0099078E"/>
    <w:rsid w:val="00990ADD"/>
    <w:rsid w:val="00990EB2"/>
    <w:rsid w:val="00991112"/>
    <w:rsid w:val="00991259"/>
    <w:rsid w:val="009917A9"/>
    <w:rsid w:val="00992345"/>
    <w:rsid w:val="009923AE"/>
    <w:rsid w:val="0099278A"/>
    <w:rsid w:val="00992B47"/>
    <w:rsid w:val="00992C6D"/>
    <w:rsid w:val="00992D0C"/>
    <w:rsid w:val="00992D2C"/>
    <w:rsid w:val="00993068"/>
    <w:rsid w:val="00993227"/>
    <w:rsid w:val="0099339D"/>
    <w:rsid w:val="00993479"/>
    <w:rsid w:val="00993903"/>
    <w:rsid w:val="00993C18"/>
    <w:rsid w:val="00993ED6"/>
    <w:rsid w:val="009940D0"/>
    <w:rsid w:val="009943D6"/>
    <w:rsid w:val="009943E1"/>
    <w:rsid w:val="009948ED"/>
    <w:rsid w:val="009949B2"/>
    <w:rsid w:val="00994BAB"/>
    <w:rsid w:val="00994F90"/>
    <w:rsid w:val="00994F9A"/>
    <w:rsid w:val="009950C4"/>
    <w:rsid w:val="00995514"/>
    <w:rsid w:val="00995B5C"/>
    <w:rsid w:val="00995DBF"/>
    <w:rsid w:val="00995F51"/>
    <w:rsid w:val="009961A9"/>
    <w:rsid w:val="0099663C"/>
    <w:rsid w:val="009967AC"/>
    <w:rsid w:val="00996F9C"/>
    <w:rsid w:val="009972DC"/>
    <w:rsid w:val="0099779E"/>
    <w:rsid w:val="00997A2A"/>
    <w:rsid w:val="009A0451"/>
    <w:rsid w:val="009A052D"/>
    <w:rsid w:val="009A0731"/>
    <w:rsid w:val="009A0D64"/>
    <w:rsid w:val="009A15E7"/>
    <w:rsid w:val="009A1680"/>
    <w:rsid w:val="009A1867"/>
    <w:rsid w:val="009A1EBA"/>
    <w:rsid w:val="009A228F"/>
    <w:rsid w:val="009A255A"/>
    <w:rsid w:val="009A25B5"/>
    <w:rsid w:val="009A26F8"/>
    <w:rsid w:val="009A2C10"/>
    <w:rsid w:val="009A33CF"/>
    <w:rsid w:val="009A3689"/>
    <w:rsid w:val="009A3BEF"/>
    <w:rsid w:val="009A3EBD"/>
    <w:rsid w:val="009A3EE1"/>
    <w:rsid w:val="009A4969"/>
    <w:rsid w:val="009A4EC6"/>
    <w:rsid w:val="009A53E2"/>
    <w:rsid w:val="009A53FD"/>
    <w:rsid w:val="009A5A4E"/>
    <w:rsid w:val="009A5A68"/>
    <w:rsid w:val="009A6201"/>
    <w:rsid w:val="009A658D"/>
    <w:rsid w:val="009A6718"/>
    <w:rsid w:val="009A68A9"/>
    <w:rsid w:val="009A6B43"/>
    <w:rsid w:val="009A6D49"/>
    <w:rsid w:val="009B045A"/>
    <w:rsid w:val="009B06BD"/>
    <w:rsid w:val="009B07E9"/>
    <w:rsid w:val="009B0E10"/>
    <w:rsid w:val="009B1450"/>
    <w:rsid w:val="009B1741"/>
    <w:rsid w:val="009B1AD6"/>
    <w:rsid w:val="009B2D69"/>
    <w:rsid w:val="009B345E"/>
    <w:rsid w:val="009B3B54"/>
    <w:rsid w:val="009B3F18"/>
    <w:rsid w:val="009B4095"/>
    <w:rsid w:val="009B455E"/>
    <w:rsid w:val="009B475B"/>
    <w:rsid w:val="009B48A9"/>
    <w:rsid w:val="009B4B63"/>
    <w:rsid w:val="009B5C65"/>
    <w:rsid w:val="009B5FC1"/>
    <w:rsid w:val="009B657A"/>
    <w:rsid w:val="009B6CB4"/>
    <w:rsid w:val="009B7AC1"/>
    <w:rsid w:val="009B7C44"/>
    <w:rsid w:val="009C0244"/>
    <w:rsid w:val="009C0EB2"/>
    <w:rsid w:val="009C10D5"/>
    <w:rsid w:val="009C1606"/>
    <w:rsid w:val="009C160C"/>
    <w:rsid w:val="009C1DCA"/>
    <w:rsid w:val="009C1FE8"/>
    <w:rsid w:val="009C27C1"/>
    <w:rsid w:val="009C27E6"/>
    <w:rsid w:val="009C2960"/>
    <w:rsid w:val="009C3282"/>
    <w:rsid w:val="009C32DE"/>
    <w:rsid w:val="009C38B0"/>
    <w:rsid w:val="009C39E5"/>
    <w:rsid w:val="009C3BFF"/>
    <w:rsid w:val="009C3DAD"/>
    <w:rsid w:val="009C3E15"/>
    <w:rsid w:val="009C3E8B"/>
    <w:rsid w:val="009C445C"/>
    <w:rsid w:val="009C48D1"/>
    <w:rsid w:val="009C49A8"/>
    <w:rsid w:val="009C52F3"/>
    <w:rsid w:val="009C5648"/>
    <w:rsid w:val="009C5B6B"/>
    <w:rsid w:val="009C5F8A"/>
    <w:rsid w:val="009C622B"/>
    <w:rsid w:val="009C650D"/>
    <w:rsid w:val="009C65A5"/>
    <w:rsid w:val="009C71F5"/>
    <w:rsid w:val="009C731D"/>
    <w:rsid w:val="009C7AF7"/>
    <w:rsid w:val="009C7B47"/>
    <w:rsid w:val="009C7F51"/>
    <w:rsid w:val="009D01F4"/>
    <w:rsid w:val="009D066A"/>
    <w:rsid w:val="009D0A72"/>
    <w:rsid w:val="009D0F10"/>
    <w:rsid w:val="009D1397"/>
    <w:rsid w:val="009D1471"/>
    <w:rsid w:val="009D1C31"/>
    <w:rsid w:val="009D21A5"/>
    <w:rsid w:val="009D2767"/>
    <w:rsid w:val="009D2BD8"/>
    <w:rsid w:val="009D3066"/>
    <w:rsid w:val="009D31C6"/>
    <w:rsid w:val="009D34DA"/>
    <w:rsid w:val="009D365B"/>
    <w:rsid w:val="009D3995"/>
    <w:rsid w:val="009D3BD7"/>
    <w:rsid w:val="009D4633"/>
    <w:rsid w:val="009D47D3"/>
    <w:rsid w:val="009D4936"/>
    <w:rsid w:val="009D565C"/>
    <w:rsid w:val="009D5CEB"/>
    <w:rsid w:val="009D5EC6"/>
    <w:rsid w:val="009D6121"/>
    <w:rsid w:val="009D6516"/>
    <w:rsid w:val="009D67B4"/>
    <w:rsid w:val="009D6C54"/>
    <w:rsid w:val="009D6E8B"/>
    <w:rsid w:val="009D7740"/>
    <w:rsid w:val="009D7809"/>
    <w:rsid w:val="009D7855"/>
    <w:rsid w:val="009D7CCD"/>
    <w:rsid w:val="009D7DCA"/>
    <w:rsid w:val="009E0567"/>
    <w:rsid w:val="009E0763"/>
    <w:rsid w:val="009E08D3"/>
    <w:rsid w:val="009E0D83"/>
    <w:rsid w:val="009E0E64"/>
    <w:rsid w:val="009E11BC"/>
    <w:rsid w:val="009E185E"/>
    <w:rsid w:val="009E1896"/>
    <w:rsid w:val="009E19B3"/>
    <w:rsid w:val="009E1E9D"/>
    <w:rsid w:val="009E2058"/>
    <w:rsid w:val="009E23EF"/>
    <w:rsid w:val="009E24B4"/>
    <w:rsid w:val="009E28B6"/>
    <w:rsid w:val="009E2904"/>
    <w:rsid w:val="009E2949"/>
    <w:rsid w:val="009E3079"/>
    <w:rsid w:val="009E3C89"/>
    <w:rsid w:val="009E40BF"/>
    <w:rsid w:val="009E4283"/>
    <w:rsid w:val="009E47C0"/>
    <w:rsid w:val="009E4B12"/>
    <w:rsid w:val="009E4BA5"/>
    <w:rsid w:val="009E4BB0"/>
    <w:rsid w:val="009E4F8B"/>
    <w:rsid w:val="009E4FC5"/>
    <w:rsid w:val="009E52C1"/>
    <w:rsid w:val="009E5A6D"/>
    <w:rsid w:val="009E5AF5"/>
    <w:rsid w:val="009E5F8E"/>
    <w:rsid w:val="009E60CB"/>
    <w:rsid w:val="009E6357"/>
    <w:rsid w:val="009E6CE0"/>
    <w:rsid w:val="009E7751"/>
    <w:rsid w:val="009E7EB8"/>
    <w:rsid w:val="009E7FF0"/>
    <w:rsid w:val="009F01A3"/>
    <w:rsid w:val="009F01DB"/>
    <w:rsid w:val="009F0654"/>
    <w:rsid w:val="009F0658"/>
    <w:rsid w:val="009F153C"/>
    <w:rsid w:val="009F16D4"/>
    <w:rsid w:val="009F189A"/>
    <w:rsid w:val="009F2670"/>
    <w:rsid w:val="009F2BF6"/>
    <w:rsid w:val="009F3125"/>
    <w:rsid w:val="009F3384"/>
    <w:rsid w:val="009F338C"/>
    <w:rsid w:val="009F34EF"/>
    <w:rsid w:val="009F35AF"/>
    <w:rsid w:val="009F366E"/>
    <w:rsid w:val="009F3762"/>
    <w:rsid w:val="009F38A8"/>
    <w:rsid w:val="009F3DBE"/>
    <w:rsid w:val="009F41B6"/>
    <w:rsid w:val="009F4611"/>
    <w:rsid w:val="009F4617"/>
    <w:rsid w:val="009F47DC"/>
    <w:rsid w:val="009F4DF5"/>
    <w:rsid w:val="009F5252"/>
    <w:rsid w:val="009F528B"/>
    <w:rsid w:val="009F55A3"/>
    <w:rsid w:val="009F5B16"/>
    <w:rsid w:val="009F5C1A"/>
    <w:rsid w:val="009F5C4D"/>
    <w:rsid w:val="009F5D1A"/>
    <w:rsid w:val="009F5DC6"/>
    <w:rsid w:val="009F5EAD"/>
    <w:rsid w:val="009F60CD"/>
    <w:rsid w:val="009F61B9"/>
    <w:rsid w:val="009F6465"/>
    <w:rsid w:val="009F66AC"/>
    <w:rsid w:val="009F6A1E"/>
    <w:rsid w:val="009F6EC5"/>
    <w:rsid w:val="009F71B9"/>
    <w:rsid w:val="009F7332"/>
    <w:rsid w:val="009F78AC"/>
    <w:rsid w:val="00A000D2"/>
    <w:rsid w:val="00A0065D"/>
    <w:rsid w:val="00A00D2F"/>
    <w:rsid w:val="00A00D90"/>
    <w:rsid w:val="00A012C3"/>
    <w:rsid w:val="00A01458"/>
    <w:rsid w:val="00A01515"/>
    <w:rsid w:val="00A01562"/>
    <w:rsid w:val="00A01B97"/>
    <w:rsid w:val="00A01E28"/>
    <w:rsid w:val="00A024B1"/>
    <w:rsid w:val="00A0299A"/>
    <w:rsid w:val="00A02C15"/>
    <w:rsid w:val="00A037DA"/>
    <w:rsid w:val="00A03E3A"/>
    <w:rsid w:val="00A03FED"/>
    <w:rsid w:val="00A0406E"/>
    <w:rsid w:val="00A0419A"/>
    <w:rsid w:val="00A04DEF"/>
    <w:rsid w:val="00A05806"/>
    <w:rsid w:val="00A05A8D"/>
    <w:rsid w:val="00A06386"/>
    <w:rsid w:val="00A067E3"/>
    <w:rsid w:val="00A069DF"/>
    <w:rsid w:val="00A100FF"/>
    <w:rsid w:val="00A1087E"/>
    <w:rsid w:val="00A1142B"/>
    <w:rsid w:val="00A11689"/>
    <w:rsid w:val="00A11859"/>
    <w:rsid w:val="00A118A5"/>
    <w:rsid w:val="00A11C39"/>
    <w:rsid w:val="00A11ED7"/>
    <w:rsid w:val="00A12032"/>
    <w:rsid w:val="00A12278"/>
    <w:rsid w:val="00A12321"/>
    <w:rsid w:val="00A123AF"/>
    <w:rsid w:val="00A1241D"/>
    <w:rsid w:val="00A125C1"/>
    <w:rsid w:val="00A12A0C"/>
    <w:rsid w:val="00A12BF5"/>
    <w:rsid w:val="00A13105"/>
    <w:rsid w:val="00A13225"/>
    <w:rsid w:val="00A13FB1"/>
    <w:rsid w:val="00A140E5"/>
    <w:rsid w:val="00A14917"/>
    <w:rsid w:val="00A14ED2"/>
    <w:rsid w:val="00A150CF"/>
    <w:rsid w:val="00A152A3"/>
    <w:rsid w:val="00A15845"/>
    <w:rsid w:val="00A16802"/>
    <w:rsid w:val="00A16985"/>
    <w:rsid w:val="00A16A26"/>
    <w:rsid w:val="00A16C1D"/>
    <w:rsid w:val="00A16D76"/>
    <w:rsid w:val="00A1711C"/>
    <w:rsid w:val="00A17397"/>
    <w:rsid w:val="00A17900"/>
    <w:rsid w:val="00A17974"/>
    <w:rsid w:val="00A17D48"/>
    <w:rsid w:val="00A17E46"/>
    <w:rsid w:val="00A2013F"/>
    <w:rsid w:val="00A20930"/>
    <w:rsid w:val="00A21520"/>
    <w:rsid w:val="00A21993"/>
    <w:rsid w:val="00A21AA2"/>
    <w:rsid w:val="00A21B1B"/>
    <w:rsid w:val="00A21BB0"/>
    <w:rsid w:val="00A21BEA"/>
    <w:rsid w:val="00A22520"/>
    <w:rsid w:val="00A22F5F"/>
    <w:rsid w:val="00A2332F"/>
    <w:rsid w:val="00A23980"/>
    <w:rsid w:val="00A24675"/>
    <w:rsid w:val="00A2495A"/>
    <w:rsid w:val="00A24BF3"/>
    <w:rsid w:val="00A24E41"/>
    <w:rsid w:val="00A25CB6"/>
    <w:rsid w:val="00A25F1B"/>
    <w:rsid w:val="00A25F5E"/>
    <w:rsid w:val="00A2625E"/>
    <w:rsid w:val="00A266A6"/>
    <w:rsid w:val="00A269D8"/>
    <w:rsid w:val="00A269F3"/>
    <w:rsid w:val="00A26E60"/>
    <w:rsid w:val="00A270E0"/>
    <w:rsid w:val="00A27897"/>
    <w:rsid w:val="00A2795D"/>
    <w:rsid w:val="00A27BD3"/>
    <w:rsid w:val="00A3015C"/>
    <w:rsid w:val="00A302D3"/>
    <w:rsid w:val="00A305C2"/>
    <w:rsid w:val="00A3096A"/>
    <w:rsid w:val="00A30AE3"/>
    <w:rsid w:val="00A30EBE"/>
    <w:rsid w:val="00A3115C"/>
    <w:rsid w:val="00A31717"/>
    <w:rsid w:val="00A31900"/>
    <w:rsid w:val="00A31FB7"/>
    <w:rsid w:val="00A31FB8"/>
    <w:rsid w:val="00A32441"/>
    <w:rsid w:val="00A32488"/>
    <w:rsid w:val="00A32528"/>
    <w:rsid w:val="00A3280F"/>
    <w:rsid w:val="00A32BFF"/>
    <w:rsid w:val="00A32D3D"/>
    <w:rsid w:val="00A32EEA"/>
    <w:rsid w:val="00A331A6"/>
    <w:rsid w:val="00A33316"/>
    <w:rsid w:val="00A3358E"/>
    <w:rsid w:val="00A33659"/>
    <w:rsid w:val="00A346A8"/>
    <w:rsid w:val="00A34B65"/>
    <w:rsid w:val="00A34D97"/>
    <w:rsid w:val="00A351AE"/>
    <w:rsid w:val="00A3528E"/>
    <w:rsid w:val="00A357FA"/>
    <w:rsid w:val="00A359FE"/>
    <w:rsid w:val="00A363A1"/>
    <w:rsid w:val="00A36AB4"/>
    <w:rsid w:val="00A370C6"/>
    <w:rsid w:val="00A3718F"/>
    <w:rsid w:val="00A371AA"/>
    <w:rsid w:val="00A373BD"/>
    <w:rsid w:val="00A374AA"/>
    <w:rsid w:val="00A37514"/>
    <w:rsid w:val="00A375F8"/>
    <w:rsid w:val="00A3773E"/>
    <w:rsid w:val="00A37913"/>
    <w:rsid w:val="00A37A44"/>
    <w:rsid w:val="00A37B5E"/>
    <w:rsid w:val="00A40669"/>
    <w:rsid w:val="00A40695"/>
    <w:rsid w:val="00A40860"/>
    <w:rsid w:val="00A40C54"/>
    <w:rsid w:val="00A41067"/>
    <w:rsid w:val="00A41901"/>
    <w:rsid w:val="00A41C33"/>
    <w:rsid w:val="00A427E9"/>
    <w:rsid w:val="00A42AC9"/>
    <w:rsid w:val="00A42E35"/>
    <w:rsid w:val="00A43171"/>
    <w:rsid w:val="00A4320C"/>
    <w:rsid w:val="00A437C4"/>
    <w:rsid w:val="00A43E7F"/>
    <w:rsid w:val="00A44189"/>
    <w:rsid w:val="00A44432"/>
    <w:rsid w:val="00A449B0"/>
    <w:rsid w:val="00A449C7"/>
    <w:rsid w:val="00A44D53"/>
    <w:rsid w:val="00A44DB3"/>
    <w:rsid w:val="00A44E04"/>
    <w:rsid w:val="00A450BF"/>
    <w:rsid w:val="00A45343"/>
    <w:rsid w:val="00A4575F"/>
    <w:rsid w:val="00A45836"/>
    <w:rsid w:val="00A4590F"/>
    <w:rsid w:val="00A45A0C"/>
    <w:rsid w:val="00A45BBE"/>
    <w:rsid w:val="00A45F3D"/>
    <w:rsid w:val="00A462E3"/>
    <w:rsid w:val="00A46FD9"/>
    <w:rsid w:val="00A501E4"/>
    <w:rsid w:val="00A504DE"/>
    <w:rsid w:val="00A50FEE"/>
    <w:rsid w:val="00A5170F"/>
    <w:rsid w:val="00A51D19"/>
    <w:rsid w:val="00A5235E"/>
    <w:rsid w:val="00A52DA0"/>
    <w:rsid w:val="00A53A3E"/>
    <w:rsid w:val="00A53B99"/>
    <w:rsid w:val="00A53C15"/>
    <w:rsid w:val="00A53E74"/>
    <w:rsid w:val="00A5427A"/>
    <w:rsid w:val="00A546CF"/>
    <w:rsid w:val="00A54705"/>
    <w:rsid w:val="00A54ACE"/>
    <w:rsid w:val="00A54EC4"/>
    <w:rsid w:val="00A5563A"/>
    <w:rsid w:val="00A55AAB"/>
    <w:rsid w:val="00A55CF4"/>
    <w:rsid w:val="00A55EFC"/>
    <w:rsid w:val="00A56634"/>
    <w:rsid w:val="00A56779"/>
    <w:rsid w:val="00A569E9"/>
    <w:rsid w:val="00A56D53"/>
    <w:rsid w:val="00A56F8D"/>
    <w:rsid w:val="00A5712F"/>
    <w:rsid w:val="00A577A4"/>
    <w:rsid w:val="00A57E59"/>
    <w:rsid w:val="00A57EBA"/>
    <w:rsid w:val="00A57FF7"/>
    <w:rsid w:val="00A604D1"/>
    <w:rsid w:val="00A6069B"/>
    <w:rsid w:val="00A6086A"/>
    <w:rsid w:val="00A60916"/>
    <w:rsid w:val="00A60A5F"/>
    <w:rsid w:val="00A60D94"/>
    <w:rsid w:val="00A6145F"/>
    <w:rsid w:val="00A6156B"/>
    <w:rsid w:val="00A61728"/>
    <w:rsid w:val="00A62B55"/>
    <w:rsid w:val="00A62CC3"/>
    <w:rsid w:val="00A62CE0"/>
    <w:rsid w:val="00A62DF7"/>
    <w:rsid w:val="00A63747"/>
    <w:rsid w:val="00A63E99"/>
    <w:rsid w:val="00A646DB"/>
    <w:rsid w:val="00A6470C"/>
    <w:rsid w:val="00A64767"/>
    <w:rsid w:val="00A65137"/>
    <w:rsid w:val="00A657EB"/>
    <w:rsid w:val="00A65AC0"/>
    <w:rsid w:val="00A65BCA"/>
    <w:rsid w:val="00A65D0D"/>
    <w:rsid w:val="00A661BA"/>
    <w:rsid w:val="00A66D8E"/>
    <w:rsid w:val="00A66F54"/>
    <w:rsid w:val="00A67007"/>
    <w:rsid w:val="00A6794D"/>
    <w:rsid w:val="00A67964"/>
    <w:rsid w:val="00A67C1E"/>
    <w:rsid w:val="00A67CF7"/>
    <w:rsid w:val="00A67E9E"/>
    <w:rsid w:val="00A703CD"/>
    <w:rsid w:val="00A7092F"/>
    <w:rsid w:val="00A70A4F"/>
    <w:rsid w:val="00A70AB9"/>
    <w:rsid w:val="00A710E6"/>
    <w:rsid w:val="00A71682"/>
    <w:rsid w:val="00A71947"/>
    <w:rsid w:val="00A71C8F"/>
    <w:rsid w:val="00A71EB6"/>
    <w:rsid w:val="00A72446"/>
    <w:rsid w:val="00A7249F"/>
    <w:rsid w:val="00A72B93"/>
    <w:rsid w:val="00A72ED3"/>
    <w:rsid w:val="00A7311E"/>
    <w:rsid w:val="00A73DF1"/>
    <w:rsid w:val="00A73E39"/>
    <w:rsid w:val="00A73FDF"/>
    <w:rsid w:val="00A742F0"/>
    <w:rsid w:val="00A74802"/>
    <w:rsid w:val="00A75341"/>
    <w:rsid w:val="00A762AA"/>
    <w:rsid w:val="00A76651"/>
    <w:rsid w:val="00A766E5"/>
    <w:rsid w:val="00A76983"/>
    <w:rsid w:val="00A76A29"/>
    <w:rsid w:val="00A76D50"/>
    <w:rsid w:val="00A76E1F"/>
    <w:rsid w:val="00A76E3E"/>
    <w:rsid w:val="00A77800"/>
    <w:rsid w:val="00A779BA"/>
    <w:rsid w:val="00A779E1"/>
    <w:rsid w:val="00A77A4E"/>
    <w:rsid w:val="00A77F96"/>
    <w:rsid w:val="00A802D0"/>
    <w:rsid w:val="00A80C1E"/>
    <w:rsid w:val="00A80CE6"/>
    <w:rsid w:val="00A81171"/>
    <w:rsid w:val="00A81EDA"/>
    <w:rsid w:val="00A82389"/>
    <w:rsid w:val="00A82718"/>
    <w:rsid w:val="00A82833"/>
    <w:rsid w:val="00A82BB0"/>
    <w:rsid w:val="00A82BFB"/>
    <w:rsid w:val="00A82F3E"/>
    <w:rsid w:val="00A82FFD"/>
    <w:rsid w:val="00A83451"/>
    <w:rsid w:val="00A836B8"/>
    <w:rsid w:val="00A837F1"/>
    <w:rsid w:val="00A838F6"/>
    <w:rsid w:val="00A8396C"/>
    <w:rsid w:val="00A83D8C"/>
    <w:rsid w:val="00A842D5"/>
    <w:rsid w:val="00A844D3"/>
    <w:rsid w:val="00A84A10"/>
    <w:rsid w:val="00A84DE4"/>
    <w:rsid w:val="00A84E54"/>
    <w:rsid w:val="00A84E56"/>
    <w:rsid w:val="00A8500C"/>
    <w:rsid w:val="00A851AE"/>
    <w:rsid w:val="00A85274"/>
    <w:rsid w:val="00A85365"/>
    <w:rsid w:val="00A8546F"/>
    <w:rsid w:val="00A85BAC"/>
    <w:rsid w:val="00A85D29"/>
    <w:rsid w:val="00A85DD1"/>
    <w:rsid w:val="00A85EA7"/>
    <w:rsid w:val="00A86324"/>
    <w:rsid w:val="00A86364"/>
    <w:rsid w:val="00A866BA"/>
    <w:rsid w:val="00A86F82"/>
    <w:rsid w:val="00A86FDB"/>
    <w:rsid w:val="00A870D1"/>
    <w:rsid w:val="00A870FB"/>
    <w:rsid w:val="00A87A1A"/>
    <w:rsid w:val="00A87CA0"/>
    <w:rsid w:val="00A87F47"/>
    <w:rsid w:val="00A90044"/>
    <w:rsid w:val="00A90EF7"/>
    <w:rsid w:val="00A923B3"/>
    <w:rsid w:val="00A9255F"/>
    <w:rsid w:val="00A928C4"/>
    <w:rsid w:val="00A92A06"/>
    <w:rsid w:val="00A92A6A"/>
    <w:rsid w:val="00A92AAE"/>
    <w:rsid w:val="00A92D71"/>
    <w:rsid w:val="00A92FE0"/>
    <w:rsid w:val="00A93F41"/>
    <w:rsid w:val="00A94054"/>
    <w:rsid w:val="00A94249"/>
    <w:rsid w:val="00A944DB"/>
    <w:rsid w:val="00A944F8"/>
    <w:rsid w:val="00A947C6"/>
    <w:rsid w:val="00A96514"/>
    <w:rsid w:val="00A9678D"/>
    <w:rsid w:val="00A96A7F"/>
    <w:rsid w:val="00A96C96"/>
    <w:rsid w:val="00A97236"/>
    <w:rsid w:val="00A97829"/>
    <w:rsid w:val="00A97B1C"/>
    <w:rsid w:val="00A97EF7"/>
    <w:rsid w:val="00AA0411"/>
    <w:rsid w:val="00AA0471"/>
    <w:rsid w:val="00AA082C"/>
    <w:rsid w:val="00AA0C52"/>
    <w:rsid w:val="00AA0FD0"/>
    <w:rsid w:val="00AA16C0"/>
    <w:rsid w:val="00AA198B"/>
    <w:rsid w:val="00AA1A5C"/>
    <w:rsid w:val="00AA1FD4"/>
    <w:rsid w:val="00AA23D4"/>
    <w:rsid w:val="00AA29FA"/>
    <w:rsid w:val="00AA2A7F"/>
    <w:rsid w:val="00AA2C02"/>
    <w:rsid w:val="00AA3069"/>
    <w:rsid w:val="00AA374B"/>
    <w:rsid w:val="00AA3AFE"/>
    <w:rsid w:val="00AA3D8C"/>
    <w:rsid w:val="00AA3DC6"/>
    <w:rsid w:val="00AA408B"/>
    <w:rsid w:val="00AA4DBB"/>
    <w:rsid w:val="00AA4F4C"/>
    <w:rsid w:val="00AA5251"/>
    <w:rsid w:val="00AA5680"/>
    <w:rsid w:val="00AA6AA6"/>
    <w:rsid w:val="00AA6C0B"/>
    <w:rsid w:val="00AA7117"/>
    <w:rsid w:val="00AA74A9"/>
    <w:rsid w:val="00AB0812"/>
    <w:rsid w:val="00AB0860"/>
    <w:rsid w:val="00AB0E30"/>
    <w:rsid w:val="00AB1BD0"/>
    <w:rsid w:val="00AB205B"/>
    <w:rsid w:val="00AB2536"/>
    <w:rsid w:val="00AB28D0"/>
    <w:rsid w:val="00AB291A"/>
    <w:rsid w:val="00AB2D87"/>
    <w:rsid w:val="00AB3131"/>
    <w:rsid w:val="00AB42E9"/>
    <w:rsid w:val="00AB4398"/>
    <w:rsid w:val="00AB4435"/>
    <w:rsid w:val="00AB449A"/>
    <w:rsid w:val="00AB4FDC"/>
    <w:rsid w:val="00AB5198"/>
    <w:rsid w:val="00AB54E5"/>
    <w:rsid w:val="00AB5C02"/>
    <w:rsid w:val="00AB624E"/>
    <w:rsid w:val="00AB63F3"/>
    <w:rsid w:val="00AB65F9"/>
    <w:rsid w:val="00AB667D"/>
    <w:rsid w:val="00AB6E64"/>
    <w:rsid w:val="00AB798C"/>
    <w:rsid w:val="00AB7C4D"/>
    <w:rsid w:val="00AB7E67"/>
    <w:rsid w:val="00AB7EAD"/>
    <w:rsid w:val="00AC093C"/>
    <w:rsid w:val="00AC0A84"/>
    <w:rsid w:val="00AC16CD"/>
    <w:rsid w:val="00AC1734"/>
    <w:rsid w:val="00AC20D6"/>
    <w:rsid w:val="00AC2ACF"/>
    <w:rsid w:val="00AC2B0D"/>
    <w:rsid w:val="00AC3350"/>
    <w:rsid w:val="00AC33F1"/>
    <w:rsid w:val="00AC3A49"/>
    <w:rsid w:val="00AC3A97"/>
    <w:rsid w:val="00AC3E83"/>
    <w:rsid w:val="00AC48C6"/>
    <w:rsid w:val="00AC48F2"/>
    <w:rsid w:val="00AC523D"/>
    <w:rsid w:val="00AC570A"/>
    <w:rsid w:val="00AC57EC"/>
    <w:rsid w:val="00AC5DD0"/>
    <w:rsid w:val="00AC6547"/>
    <w:rsid w:val="00AC6585"/>
    <w:rsid w:val="00AC6C64"/>
    <w:rsid w:val="00AC6C81"/>
    <w:rsid w:val="00AC6E37"/>
    <w:rsid w:val="00AC6FEE"/>
    <w:rsid w:val="00AC75C2"/>
    <w:rsid w:val="00AC769E"/>
    <w:rsid w:val="00AC772B"/>
    <w:rsid w:val="00AC7B53"/>
    <w:rsid w:val="00AD0233"/>
    <w:rsid w:val="00AD023F"/>
    <w:rsid w:val="00AD0871"/>
    <w:rsid w:val="00AD09D4"/>
    <w:rsid w:val="00AD0BCA"/>
    <w:rsid w:val="00AD145A"/>
    <w:rsid w:val="00AD1545"/>
    <w:rsid w:val="00AD1672"/>
    <w:rsid w:val="00AD1751"/>
    <w:rsid w:val="00AD17A2"/>
    <w:rsid w:val="00AD17B3"/>
    <w:rsid w:val="00AD17D5"/>
    <w:rsid w:val="00AD1F15"/>
    <w:rsid w:val="00AD1F33"/>
    <w:rsid w:val="00AD21CD"/>
    <w:rsid w:val="00AD280B"/>
    <w:rsid w:val="00AD2A9E"/>
    <w:rsid w:val="00AD2F72"/>
    <w:rsid w:val="00AD31D6"/>
    <w:rsid w:val="00AD3209"/>
    <w:rsid w:val="00AD3230"/>
    <w:rsid w:val="00AD3271"/>
    <w:rsid w:val="00AD3BEB"/>
    <w:rsid w:val="00AD3C0B"/>
    <w:rsid w:val="00AD3F7E"/>
    <w:rsid w:val="00AD3FAF"/>
    <w:rsid w:val="00AD4096"/>
    <w:rsid w:val="00AD40D3"/>
    <w:rsid w:val="00AD4390"/>
    <w:rsid w:val="00AD47C3"/>
    <w:rsid w:val="00AD47F7"/>
    <w:rsid w:val="00AD4CE8"/>
    <w:rsid w:val="00AD4D80"/>
    <w:rsid w:val="00AD4EFE"/>
    <w:rsid w:val="00AD50AF"/>
    <w:rsid w:val="00AD5261"/>
    <w:rsid w:val="00AD52EC"/>
    <w:rsid w:val="00AD5478"/>
    <w:rsid w:val="00AD5835"/>
    <w:rsid w:val="00AD5BD4"/>
    <w:rsid w:val="00AD5CED"/>
    <w:rsid w:val="00AD64CB"/>
    <w:rsid w:val="00AD6528"/>
    <w:rsid w:val="00AD6B72"/>
    <w:rsid w:val="00AD6E07"/>
    <w:rsid w:val="00AD6EDD"/>
    <w:rsid w:val="00AD6F57"/>
    <w:rsid w:val="00AD710E"/>
    <w:rsid w:val="00AD731A"/>
    <w:rsid w:val="00AD75E9"/>
    <w:rsid w:val="00AD7A36"/>
    <w:rsid w:val="00AD7FAE"/>
    <w:rsid w:val="00AE0327"/>
    <w:rsid w:val="00AE0740"/>
    <w:rsid w:val="00AE0E42"/>
    <w:rsid w:val="00AE19FB"/>
    <w:rsid w:val="00AE1C4C"/>
    <w:rsid w:val="00AE1DC4"/>
    <w:rsid w:val="00AE1EA9"/>
    <w:rsid w:val="00AE244C"/>
    <w:rsid w:val="00AE2697"/>
    <w:rsid w:val="00AE271E"/>
    <w:rsid w:val="00AE2AED"/>
    <w:rsid w:val="00AE2B25"/>
    <w:rsid w:val="00AE2FA1"/>
    <w:rsid w:val="00AE30B6"/>
    <w:rsid w:val="00AE3529"/>
    <w:rsid w:val="00AE3893"/>
    <w:rsid w:val="00AE3C87"/>
    <w:rsid w:val="00AE4379"/>
    <w:rsid w:val="00AE4422"/>
    <w:rsid w:val="00AE462D"/>
    <w:rsid w:val="00AE482F"/>
    <w:rsid w:val="00AE573B"/>
    <w:rsid w:val="00AE595B"/>
    <w:rsid w:val="00AE5AEB"/>
    <w:rsid w:val="00AE6157"/>
    <w:rsid w:val="00AE68D8"/>
    <w:rsid w:val="00AE6B29"/>
    <w:rsid w:val="00AE720E"/>
    <w:rsid w:val="00AE76D2"/>
    <w:rsid w:val="00AE7A0F"/>
    <w:rsid w:val="00AE7E94"/>
    <w:rsid w:val="00AF08CA"/>
    <w:rsid w:val="00AF08F7"/>
    <w:rsid w:val="00AF0B7C"/>
    <w:rsid w:val="00AF0D17"/>
    <w:rsid w:val="00AF0E40"/>
    <w:rsid w:val="00AF11C1"/>
    <w:rsid w:val="00AF15C5"/>
    <w:rsid w:val="00AF1792"/>
    <w:rsid w:val="00AF1A04"/>
    <w:rsid w:val="00AF2100"/>
    <w:rsid w:val="00AF22F9"/>
    <w:rsid w:val="00AF2614"/>
    <w:rsid w:val="00AF2795"/>
    <w:rsid w:val="00AF2F23"/>
    <w:rsid w:val="00AF3131"/>
    <w:rsid w:val="00AF3901"/>
    <w:rsid w:val="00AF3BD2"/>
    <w:rsid w:val="00AF3E88"/>
    <w:rsid w:val="00AF4848"/>
    <w:rsid w:val="00AF4890"/>
    <w:rsid w:val="00AF4D40"/>
    <w:rsid w:val="00AF4DB7"/>
    <w:rsid w:val="00AF4E0A"/>
    <w:rsid w:val="00AF58E1"/>
    <w:rsid w:val="00AF5C19"/>
    <w:rsid w:val="00AF5DCA"/>
    <w:rsid w:val="00AF5E4F"/>
    <w:rsid w:val="00AF5E7A"/>
    <w:rsid w:val="00AF63B2"/>
    <w:rsid w:val="00AF64AD"/>
    <w:rsid w:val="00AF6EF7"/>
    <w:rsid w:val="00AF6F3B"/>
    <w:rsid w:val="00AF7321"/>
    <w:rsid w:val="00AF7ABB"/>
    <w:rsid w:val="00AF7B67"/>
    <w:rsid w:val="00B00903"/>
    <w:rsid w:val="00B00AB3"/>
    <w:rsid w:val="00B0111C"/>
    <w:rsid w:val="00B012EB"/>
    <w:rsid w:val="00B028D8"/>
    <w:rsid w:val="00B02990"/>
    <w:rsid w:val="00B02AF1"/>
    <w:rsid w:val="00B02F46"/>
    <w:rsid w:val="00B02F9D"/>
    <w:rsid w:val="00B0352B"/>
    <w:rsid w:val="00B038D1"/>
    <w:rsid w:val="00B039CA"/>
    <w:rsid w:val="00B04791"/>
    <w:rsid w:val="00B04AAE"/>
    <w:rsid w:val="00B04B8F"/>
    <w:rsid w:val="00B05119"/>
    <w:rsid w:val="00B05223"/>
    <w:rsid w:val="00B06125"/>
    <w:rsid w:val="00B06221"/>
    <w:rsid w:val="00B06533"/>
    <w:rsid w:val="00B0662C"/>
    <w:rsid w:val="00B070C7"/>
    <w:rsid w:val="00B070DD"/>
    <w:rsid w:val="00B0774C"/>
    <w:rsid w:val="00B102E4"/>
    <w:rsid w:val="00B10BAD"/>
    <w:rsid w:val="00B10BF3"/>
    <w:rsid w:val="00B10E19"/>
    <w:rsid w:val="00B11A0F"/>
    <w:rsid w:val="00B11E89"/>
    <w:rsid w:val="00B11F88"/>
    <w:rsid w:val="00B12089"/>
    <w:rsid w:val="00B123DD"/>
    <w:rsid w:val="00B125D3"/>
    <w:rsid w:val="00B12672"/>
    <w:rsid w:val="00B129E9"/>
    <w:rsid w:val="00B12BAD"/>
    <w:rsid w:val="00B12FBA"/>
    <w:rsid w:val="00B1317C"/>
    <w:rsid w:val="00B132BC"/>
    <w:rsid w:val="00B132C7"/>
    <w:rsid w:val="00B13601"/>
    <w:rsid w:val="00B13818"/>
    <w:rsid w:val="00B13BB6"/>
    <w:rsid w:val="00B13E7A"/>
    <w:rsid w:val="00B13F37"/>
    <w:rsid w:val="00B14297"/>
    <w:rsid w:val="00B143C4"/>
    <w:rsid w:val="00B143EE"/>
    <w:rsid w:val="00B149CE"/>
    <w:rsid w:val="00B14E04"/>
    <w:rsid w:val="00B14EF8"/>
    <w:rsid w:val="00B1501C"/>
    <w:rsid w:val="00B153A8"/>
    <w:rsid w:val="00B159ED"/>
    <w:rsid w:val="00B15D9A"/>
    <w:rsid w:val="00B16565"/>
    <w:rsid w:val="00B16A01"/>
    <w:rsid w:val="00B16ACC"/>
    <w:rsid w:val="00B174F9"/>
    <w:rsid w:val="00B17581"/>
    <w:rsid w:val="00B177A6"/>
    <w:rsid w:val="00B20022"/>
    <w:rsid w:val="00B200D5"/>
    <w:rsid w:val="00B20351"/>
    <w:rsid w:val="00B205D4"/>
    <w:rsid w:val="00B2130B"/>
    <w:rsid w:val="00B21406"/>
    <w:rsid w:val="00B21612"/>
    <w:rsid w:val="00B21AA2"/>
    <w:rsid w:val="00B21CF0"/>
    <w:rsid w:val="00B21F2C"/>
    <w:rsid w:val="00B224C7"/>
    <w:rsid w:val="00B226C4"/>
    <w:rsid w:val="00B22A7B"/>
    <w:rsid w:val="00B23648"/>
    <w:rsid w:val="00B23D14"/>
    <w:rsid w:val="00B24700"/>
    <w:rsid w:val="00B24928"/>
    <w:rsid w:val="00B25A8C"/>
    <w:rsid w:val="00B25D66"/>
    <w:rsid w:val="00B25E72"/>
    <w:rsid w:val="00B2625A"/>
    <w:rsid w:val="00B26736"/>
    <w:rsid w:val="00B2696F"/>
    <w:rsid w:val="00B2725D"/>
    <w:rsid w:val="00B2737C"/>
    <w:rsid w:val="00B2738E"/>
    <w:rsid w:val="00B27814"/>
    <w:rsid w:val="00B27ADB"/>
    <w:rsid w:val="00B27CC8"/>
    <w:rsid w:val="00B27DB7"/>
    <w:rsid w:val="00B3124F"/>
    <w:rsid w:val="00B31AAA"/>
    <w:rsid w:val="00B32135"/>
    <w:rsid w:val="00B32672"/>
    <w:rsid w:val="00B32715"/>
    <w:rsid w:val="00B329D3"/>
    <w:rsid w:val="00B32B37"/>
    <w:rsid w:val="00B32CBC"/>
    <w:rsid w:val="00B32DC3"/>
    <w:rsid w:val="00B3305B"/>
    <w:rsid w:val="00B3308F"/>
    <w:rsid w:val="00B33575"/>
    <w:rsid w:val="00B335BD"/>
    <w:rsid w:val="00B338A6"/>
    <w:rsid w:val="00B339D7"/>
    <w:rsid w:val="00B34133"/>
    <w:rsid w:val="00B342DE"/>
    <w:rsid w:val="00B3437F"/>
    <w:rsid w:val="00B343F7"/>
    <w:rsid w:val="00B34438"/>
    <w:rsid w:val="00B354F1"/>
    <w:rsid w:val="00B358D0"/>
    <w:rsid w:val="00B35B76"/>
    <w:rsid w:val="00B35E4D"/>
    <w:rsid w:val="00B35E90"/>
    <w:rsid w:val="00B3718E"/>
    <w:rsid w:val="00B3722C"/>
    <w:rsid w:val="00B37E06"/>
    <w:rsid w:val="00B37E31"/>
    <w:rsid w:val="00B37FD3"/>
    <w:rsid w:val="00B40013"/>
    <w:rsid w:val="00B401D9"/>
    <w:rsid w:val="00B4025B"/>
    <w:rsid w:val="00B4040D"/>
    <w:rsid w:val="00B406CE"/>
    <w:rsid w:val="00B408BE"/>
    <w:rsid w:val="00B408EC"/>
    <w:rsid w:val="00B40AB8"/>
    <w:rsid w:val="00B40D15"/>
    <w:rsid w:val="00B40EDD"/>
    <w:rsid w:val="00B412E1"/>
    <w:rsid w:val="00B419A1"/>
    <w:rsid w:val="00B419D9"/>
    <w:rsid w:val="00B41D70"/>
    <w:rsid w:val="00B41DAE"/>
    <w:rsid w:val="00B42562"/>
    <w:rsid w:val="00B425F0"/>
    <w:rsid w:val="00B42672"/>
    <w:rsid w:val="00B42F7E"/>
    <w:rsid w:val="00B437C2"/>
    <w:rsid w:val="00B43B7E"/>
    <w:rsid w:val="00B44834"/>
    <w:rsid w:val="00B44899"/>
    <w:rsid w:val="00B448E8"/>
    <w:rsid w:val="00B4490B"/>
    <w:rsid w:val="00B44DD9"/>
    <w:rsid w:val="00B451B4"/>
    <w:rsid w:val="00B454CD"/>
    <w:rsid w:val="00B45A3C"/>
    <w:rsid w:val="00B45B24"/>
    <w:rsid w:val="00B461D5"/>
    <w:rsid w:val="00B464AB"/>
    <w:rsid w:val="00B4683E"/>
    <w:rsid w:val="00B46B68"/>
    <w:rsid w:val="00B46FDC"/>
    <w:rsid w:val="00B47221"/>
    <w:rsid w:val="00B47FE5"/>
    <w:rsid w:val="00B50177"/>
    <w:rsid w:val="00B50401"/>
    <w:rsid w:val="00B505E4"/>
    <w:rsid w:val="00B50951"/>
    <w:rsid w:val="00B50AFF"/>
    <w:rsid w:val="00B51958"/>
    <w:rsid w:val="00B51963"/>
    <w:rsid w:val="00B51AA3"/>
    <w:rsid w:val="00B51D39"/>
    <w:rsid w:val="00B5202D"/>
    <w:rsid w:val="00B526F3"/>
    <w:rsid w:val="00B5297A"/>
    <w:rsid w:val="00B52AF2"/>
    <w:rsid w:val="00B5351C"/>
    <w:rsid w:val="00B5475D"/>
    <w:rsid w:val="00B5492E"/>
    <w:rsid w:val="00B54F3D"/>
    <w:rsid w:val="00B54FF7"/>
    <w:rsid w:val="00B5524C"/>
    <w:rsid w:val="00B552CE"/>
    <w:rsid w:val="00B55B16"/>
    <w:rsid w:val="00B55F1A"/>
    <w:rsid w:val="00B566F5"/>
    <w:rsid w:val="00B56833"/>
    <w:rsid w:val="00B56C19"/>
    <w:rsid w:val="00B56DD3"/>
    <w:rsid w:val="00B5789C"/>
    <w:rsid w:val="00B57EA1"/>
    <w:rsid w:val="00B60220"/>
    <w:rsid w:val="00B61622"/>
    <w:rsid w:val="00B61970"/>
    <w:rsid w:val="00B62172"/>
    <w:rsid w:val="00B62617"/>
    <w:rsid w:val="00B6278B"/>
    <w:rsid w:val="00B62CD2"/>
    <w:rsid w:val="00B63007"/>
    <w:rsid w:val="00B63501"/>
    <w:rsid w:val="00B63AA2"/>
    <w:rsid w:val="00B63AEF"/>
    <w:rsid w:val="00B641BB"/>
    <w:rsid w:val="00B65563"/>
    <w:rsid w:val="00B655C0"/>
    <w:rsid w:val="00B65A28"/>
    <w:rsid w:val="00B65BF0"/>
    <w:rsid w:val="00B66096"/>
    <w:rsid w:val="00B660F2"/>
    <w:rsid w:val="00B661D6"/>
    <w:rsid w:val="00B66C0B"/>
    <w:rsid w:val="00B66D3E"/>
    <w:rsid w:val="00B67164"/>
    <w:rsid w:val="00B671BB"/>
    <w:rsid w:val="00B6768C"/>
    <w:rsid w:val="00B676FF"/>
    <w:rsid w:val="00B67ACD"/>
    <w:rsid w:val="00B67E7D"/>
    <w:rsid w:val="00B70F8A"/>
    <w:rsid w:val="00B7166B"/>
    <w:rsid w:val="00B71950"/>
    <w:rsid w:val="00B71954"/>
    <w:rsid w:val="00B71C0D"/>
    <w:rsid w:val="00B71E48"/>
    <w:rsid w:val="00B727E1"/>
    <w:rsid w:val="00B72958"/>
    <w:rsid w:val="00B72ACE"/>
    <w:rsid w:val="00B72B4E"/>
    <w:rsid w:val="00B73099"/>
    <w:rsid w:val="00B73302"/>
    <w:rsid w:val="00B73838"/>
    <w:rsid w:val="00B73AD0"/>
    <w:rsid w:val="00B73DBD"/>
    <w:rsid w:val="00B73F98"/>
    <w:rsid w:val="00B748E2"/>
    <w:rsid w:val="00B74A3B"/>
    <w:rsid w:val="00B74ACE"/>
    <w:rsid w:val="00B74C78"/>
    <w:rsid w:val="00B750E4"/>
    <w:rsid w:val="00B7554B"/>
    <w:rsid w:val="00B75A21"/>
    <w:rsid w:val="00B75C61"/>
    <w:rsid w:val="00B76285"/>
    <w:rsid w:val="00B7629A"/>
    <w:rsid w:val="00B763A9"/>
    <w:rsid w:val="00B76583"/>
    <w:rsid w:val="00B76B96"/>
    <w:rsid w:val="00B76D6C"/>
    <w:rsid w:val="00B7762C"/>
    <w:rsid w:val="00B77965"/>
    <w:rsid w:val="00B77CA1"/>
    <w:rsid w:val="00B77F8A"/>
    <w:rsid w:val="00B80043"/>
    <w:rsid w:val="00B80140"/>
    <w:rsid w:val="00B801FD"/>
    <w:rsid w:val="00B80304"/>
    <w:rsid w:val="00B80458"/>
    <w:rsid w:val="00B809E6"/>
    <w:rsid w:val="00B81349"/>
    <w:rsid w:val="00B81500"/>
    <w:rsid w:val="00B815EF"/>
    <w:rsid w:val="00B81A27"/>
    <w:rsid w:val="00B81C5F"/>
    <w:rsid w:val="00B81F7B"/>
    <w:rsid w:val="00B824C0"/>
    <w:rsid w:val="00B82815"/>
    <w:rsid w:val="00B82A57"/>
    <w:rsid w:val="00B82A93"/>
    <w:rsid w:val="00B82DD2"/>
    <w:rsid w:val="00B835BA"/>
    <w:rsid w:val="00B842F2"/>
    <w:rsid w:val="00B843FD"/>
    <w:rsid w:val="00B845E7"/>
    <w:rsid w:val="00B846AE"/>
    <w:rsid w:val="00B84B6E"/>
    <w:rsid w:val="00B84CD4"/>
    <w:rsid w:val="00B8504D"/>
    <w:rsid w:val="00B85DB0"/>
    <w:rsid w:val="00B86109"/>
    <w:rsid w:val="00B8615B"/>
    <w:rsid w:val="00B8647A"/>
    <w:rsid w:val="00B86565"/>
    <w:rsid w:val="00B86609"/>
    <w:rsid w:val="00B867DE"/>
    <w:rsid w:val="00B86C02"/>
    <w:rsid w:val="00B86C0D"/>
    <w:rsid w:val="00B86D28"/>
    <w:rsid w:val="00B8713D"/>
    <w:rsid w:val="00B873DD"/>
    <w:rsid w:val="00B87BD2"/>
    <w:rsid w:val="00B903BC"/>
    <w:rsid w:val="00B9099A"/>
    <w:rsid w:val="00B909D5"/>
    <w:rsid w:val="00B90EE5"/>
    <w:rsid w:val="00B90FDC"/>
    <w:rsid w:val="00B92276"/>
    <w:rsid w:val="00B9269B"/>
    <w:rsid w:val="00B92B90"/>
    <w:rsid w:val="00B93436"/>
    <w:rsid w:val="00B9401D"/>
    <w:rsid w:val="00B940C2"/>
    <w:rsid w:val="00B944C8"/>
    <w:rsid w:val="00B94C35"/>
    <w:rsid w:val="00B94DA5"/>
    <w:rsid w:val="00B952FD"/>
    <w:rsid w:val="00B95C58"/>
    <w:rsid w:val="00B960E3"/>
    <w:rsid w:val="00B96E9D"/>
    <w:rsid w:val="00B970D7"/>
    <w:rsid w:val="00B9780D"/>
    <w:rsid w:val="00B9793E"/>
    <w:rsid w:val="00B97990"/>
    <w:rsid w:val="00BA188D"/>
    <w:rsid w:val="00BA1DB0"/>
    <w:rsid w:val="00BA25CD"/>
    <w:rsid w:val="00BA27A4"/>
    <w:rsid w:val="00BA2AB4"/>
    <w:rsid w:val="00BA2DAE"/>
    <w:rsid w:val="00BA3064"/>
    <w:rsid w:val="00BA3A9D"/>
    <w:rsid w:val="00BA3EB6"/>
    <w:rsid w:val="00BA4D98"/>
    <w:rsid w:val="00BA4E59"/>
    <w:rsid w:val="00BA55CA"/>
    <w:rsid w:val="00BA5600"/>
    <w:rsid w:val="00BA5871"/>
    <w:rsid w:val="00BA58E9"/>
    <w:rsid w:val="00BA59D7"/>
    <w:rsid w:val="00BA59EA"/>
    <w:rsid w:val="00BA5EE2"/>
    <w:rsid w:val="00BA5F55"/>
    <w:rsid w:val="00BA6283"/>
    <w:rsid w:val="00BA6845"/>
    <w:rsid w:val="00BA6C0E"/>
    <w:rsid w:val="00BA6E92"/>
    <w:rsid w:val="00BA721B"/>
    <w:rsid w:val="00BA7459"/>
    <w:rsid w:val="00BA769E"/>
    <w:rsid w:val="00BA7D42"/>
    <w:rsid w:val="00BA7E8C"/>
    <w:rsid w:val="00BA7F2A"/>
    <w:rsid w:val="00BB042A"/>
    <w:rsid w:val="00BB0CBF"/>
    <w:rsid w:val="00BB1A08"/>
    <w:rsid w:val="00BB2096"/>
    <w:rsid w:val="00BB23F8"/>
    <w:rsid w:val="00BB27AA"/>
    <w:rsid w:val="00BB2A65"/>
    <w:rsid w:val="00BB3321"/>
    <w:rsid w:val="00BB33B1"/>
    <w:rsid w:val="00BB3827"/>
    <w:rsid w:val="00BB3E3E"/>
    <w:rsid w:val="00BB46F1"/>
    <w:rsid w:val="00BB4A88"/>
    <w:rsid w:val="00BB4D16"/>
    <w:rsid w:val="00BB5374"/>
    <w:rsid w:val="00BB57F1"/>
    <w:rsid w:val="00BB5D76"/>
    <w:rsid w:val="00BB5DA2"/>
    <w:rsid w:val="00BB5DC9"/>
    <w:rsid w:val="00BB5FEB"/>
    <w:rsid w:val="00BB6077"/>
    <w:rsid w:val="00BB612F"/>
    <w:rsid w:val="00BB6C81"/>
    <w:rsid w:val="00BB6F5E"/>
    <w:rsid w:val="00BB7369"/>
    <w:rsid w:val="00BB7386"/>
    <w:rsid w:val="00BB7402"/>
    <w:rsid w:val="00BB7586"/>
    <w:rsid w:val="00BB7B4D"/>
    <w:rsid w:val="00BC010E"/>
    <w:rsid w:val="00BC0254"/>
    <w:rsid w:val="00BC0367"/>
    <w:rsid w:val="00BC0D46"/>
    <w:rsid w:val="00BC1200"/>
    <w:rsid w:val="00BC139B"/>
    <w:rsid w:val="00BC1626"/>
    <w:rsid w:val="00BC1992"/>
    <w:rsid w:val="00BC1BC7"/>
    <w:rsid w:val="00BC1CC2"/>
    <w:rsid w:val="00BC21F2"/>
    <w:rsid w:val="00BC249C"/>
    <w:rsid w:val="00BC26DA"/>
    <w:rsid w:val="00BC2C9C"/>
    <w:rsid w:val="00BC3166"/>
    <w:rsid w:val="00BC34FC"/>
    <w:rsid w:val="00BC3638"/>
    <w:rsid w:val="00BC397D"/>
    <w:rsid w:val="00BC40BA"/>
    <w:rsid w:val="00BC42E5"/>
    <w:rsid w:val="00BC4546"/>
    <w:rsid w:val="00BC455D"/>
    <w:rsid w:val="00BC49BC"/>
    <w:rsid w:val="00BC4B86"/>
    <w:rsid w:val="00BC543E"/>
    <w:rsid w:val="00BC59B0"/>
    <w:rsid w:val="00BC59EA"/>
    <w:rsid w:val="00BC5A2F"/>
    <w:rsid w:val="00BC63C2"/>
    <w:rsid w:val="00BC6768"/>
    <w:rsid w:val="00BC6CED"/>
    <w:rsid w:val="00BC6D67"/>
    <w:rsid w:val="00BC6D76"/>
    <w:rsid w:val="00BC6E0F"/>
    <w:rsid w:val="00BC6E5E"/>
    <w:rsid w:val="00BC7AF5"/>
    <w:rsid w:val="00BC7C42"/>
    <w:rsid w:val="00BD0209"/>
    <w:rsid w:val="00BD06E3"/>
    <w:rsid w:val="00BD11D3"/>
    <w:rsid w:val="00BD12F0"/>
    <w:rsid w:val="00BD144A"/>
    <w:rsid w:val="00BD1D95"/>
    <w:rsid w:val="00BD224B"/>
    <w:rsid w:val="00BD2A66"/>
    <w:rsid w:val="00BD2B85"/>
    <w:rsid w:val="00BD2D98"/>
    <w:rsid w:val="00BD2F60"/>
    <w:rsid w:val="00BD3A36"/>
    <w:rsid w:val="00BD4034"/>
    <w:rsid w:val="00BD412E"/>
    <w:rsid w:val="00BD4ACB"/>
    <w:rsid w:val="00BD560E"/>
    <w:rsid w:val="00BD5650"/>
    <w:rsid w:val="00BD58B2"/>
    <w:rsid w:val="00BD5E34"/>
    <w:rsid w:val="00BD6293"/>
    <w:rsid w:val="00BD632B"/>
    <w:rsid w:val="00BD666B"/>
    <w:rsid w:val="00BD722B"/>
    <w:rsid w:val="00BD72AA"/>
    <w:rsid w:val="00BD72F3"/>
    <w:rsid w:val="00BD79F8"/>
    <w:rsid w:val="00BE0587"/>
    <w:rsid w:val="00BE05FA"/>
    <w:rsid w:val="00BE0CDF"/>
    <w:rsid w:val="00BE1160"/>
    <w:rsid w:val="00BE1169"/>
    <w:rsid w:val="00BE11A4"/>
    <w:rsid w:val="00BE19AF"/>
    <w:rsid w:val="00BE1A12"/>
    <w:rsid w:val="00BE2B66"/>
    <w:rsid w:val="00BE2DDC"/>
    <w:rsid w:val="00BE376D"/>
    <w:rsid w:val="00BE3E34"/>
    <w:rsid w:val="00BE3E8F"/>
    <w:rsid w:val="00BE4431"/>
    <w:rsid w:val="00BE46D6"/>
    <w:rsid w:val="00BE4CEF"/>
    <w:rsid w:val="00BE4F94"/>
    <w:rsid w:val="00BE50A7"/>
    <w:rsid w:val="00BE57F4"/>
    <w:rsid w:val="00BE5FA1"/>
    <w:rsid w:val="00BE6459"/>
    <w:rsid w:val="00BE6573"/>
    <w:rsid w:val="00BE66DC"/>
    <w:rsid w:val="00BE6A72"/>
    <w:rsid w:val="00BE6C3C"/>
    <w:rsid w:val="00BE725A"/>
    <w:rsid w:val="00BE72F8"/>
    <w:rsid w:val="00BE780F"/>
    <w:rsid w:val="00BE7929"/>
    <w:rsid w:val="00BE7A04"/>
    <w:rsid w:val="00BF03C0"/>
    <w:rsid w:val="00BF0622"/>
    <w:rsid w:val="00BF077E"/>
    <w:rsid w:val="00BF1296"/>
    <w:rsid w:val="00BF16A5"/>
    <w:rsid w:val="00BF19B6"/>
    <w:rsid w:val="00BF1B05"/>
    <w:rsid w:val="00BF1E7F"/>
    <w:rsid w:val="00BF22A2"/>
    <w:rsid w:val="00BF24DB"/>
    <w:rsid w:val="00BF261E"/>
    <w:rsid w:val="00BF28FE"/>
    <w:rsid w:val="00BF33CF"/>
    <w:rsid w:val="00BF352D"/>
    <w:rsid w:val="00BF37E4"/>
    <w:rsid w:val="00BF38E3"/>
    <w:rsid w:val="00BF3C23"/>
    <w:rsid w:val="00BF3D5A"/>
    <w:rsid w:val="00BF3F18"/>
    <w:rsid w:val="00BF4590"/>
    <w:rsid w:val="00BF4F89"/>
    <w:rsid w:val="00BF5B1F"/>
    <w:rsid w:val="00BF5D52"/>
    <w:rsid w:val="00BF60BF"/>
    <w:rsid w:val="00BF6249"/>
    <w:rsid w:val="00BF6471"/>
    <w:rsid w:val="00BF67BE"/>
    <w:rsid w:val="00BF71D7"/>
    <w:rsid w:val="00BF7521"/>
    <w:rsid w:val="00BF77E1"/>
    <w:rsid w:val="00BF7811"/>
    <w:rsid w:val="00C005E5"/>
    <w:rsid w:val="00C00732"/>
    <w:rsid w:val="00C00791"/>
    <w:rsid w:val="00C009F7"/>
    <w:rsid w:val="00C00DC8"/>
    <w:rsid w:val="00C00FA1"/>
    <w:rsid w:val="00C01246"/>
    <w:rsid w:val="00C012BA"/>
    <w:rsid w:val="00C01896"/>
    <w:rsid w:val="00C022E2"/>
    <w:rsid w:val="00C022FD"/>
    <w:rsid w:val="00C02443"/>
    <w:rsid w:val="00C0246B"/>
    <w:rsid w:val="00C0297E"/>
    <w:rsid w:val="00C03054"/>
    <w:rsid w:val="00C03417"/>
    <w:rsid w:val="00C03D63"/>
    <w:rsid w:val="00C03F19"/>
    <w:rsid w:val="00C041D1"/>
    <w:rsid w:val="00C0431E"/>
    <w:rsid w:val="00C04ED3"/>
    <w:rsid w:val="00C05404"/>
    <w:rsid w:val="00C05624"/>
    <w:rsid w:val="00C057F5"/>
    <w:rsid w:val="00C05BAC"/>
    <w:rsid w:val="00C05C38"/>
    <w:rsid w:val="00C0609D"/>
    <w:rsid w:val="00C0611B"/>
    <w:rsid w:val="00C0644D"/>
    <w:rsid w:val="00C06479"/>
    <w:rsid w:val="00C064FB"/>
    <w:rsid w:val="00C06904"/>
    <w:rsid w:val="00C06A67"/>
    <w:rsid w:val="00C0751F"/>
    <w:rsid w:val="00C07BCE"/>
    <w:rsid w:val="00C07D0D"/>
    <w:rsid w:val="00C07F67"/>
    <w:rsid w:val="00C10221"/>
    <w:rsid w:val="00C10615"/>
    <w:rsid w:val="00C11472"/>
    <w:rsid w:val="00C12341"/>
    <w:rsid w:val="00C1282A"/>
    <w:rsid w:val="00C12957"/>
    <w:rsid w:val="00C12A66"/>
    <w:rsid w:val="00C12AF0"/>
    <w:rsid w:val="00C13811"/>
    <w:rsid w:val="00C13BEA"/>
    <w:rsid w:val="00C13FD3"/>
    <w:rsid w:val="00C1418C"/>
    <w:rsid w:val="00C14CE2"/>
    <w:rsid w:val="00C1534E"/>
    <w:rsid w:val="00C157DD"/>
    <w:rsid w:val="00C159ED"/>
    <w:rsid w:val="00C15BDD"/>
    <w:rsid w:val="00C15FB0"/>
    <w:rsid w:val="00C16501"/>
    <w:rsid w:val="00C1667B"/>
    <w:rsid w:val="00C16F64"/>
    <w:rsid w:val="00C17821"/>
    <w:rsid w:val="00C17ADF"/>
    <w:rsid w:val="00C17D2C"/>
    <w:rsid w:val="00C17ED6"/>
    <w:rsid w:val="00C2032D"/>
    <w:rsid w:val="00C20484"/>
    <w:rsid w:val="00C2072B"/>
    <w:rsid w:val="00C21311"/>
    <w:rsid w:val="00C214FB"/>
    <w:rsid w:val="00C2159A"/>
    <w:rsid w:val="00C21876"/>
    <w:rsid w:val="00C219A1"/>
    <w:rsid w:val="00C21E9A"/>
    <w:rsid w:val="00C22871"/>
    <w:rsid w:val="00C228DD"/>
    <w:rsid w:val="00C22D31"/>
    <w:rsid w:val="00C22FDA"/>
    <w:rsid w:val="00C23095"/>
    <w:rsid w:val="00C233EC"/>
    <w:rsid w:val="00C23D25"/>
    <w:rsid w:val="00C23E04"/>
    <w:rsid w:val="00C2409D"/>
    <w:rsid w:val="00C24111"/>
    <w:rsid w:val="00C242C7"/>
    <w:rsid w:val="00C24452"/>
    <w:rsid w:val="00C24728"/>
    <w:rsid w:val="00C24A7D"/>
    <w:rsid w:val="00C24C34"/>
    <w:rsid w:val="00C24D4B"/>
    <w:rsid w:val="00C25768"/>
    <w:rsid w:val="00C25901"/>
    <w:rsid w:val="00C25CFF"/>
    <w:rsid w:val="00C2644D"/>
    <w:rsid w:val="00C26545"/>
    <w:rsid w:val="00C26A26"/>
    <w:rsid w:val="00C27264"/>
    <w:rsid w:val="00C27492"/>
    <w:rsid w:val="00C277A2"/>
    <w:rsid w:val="00C27D02"/>
    <w:rsid w:val="00C27DCF"/>
    <w:rsid w:val="00C3015D"/>
    <w:rsid w:val="00C301C0"/>
    <w:rsid w:val="00C30485"/>
    <w:rsid w:val="00C30512"/>
    <w:rsid w:val="00C30626"/>
    <w:rsid w:val="00C306EB"/>
    <w:rsid w:val="00C307AB"/>
    <w:rsid w:val="00C3095E"/>
    <w:rsid w:val="00C30E53"/>
    <w:rsid w:val="00C3179F"/>
    <w:rsid w:val="00C317FA"/>
    <w:rsid w:val="00C31DD3"/>
    <w:rsid w:val="00C31DEF"/>
    <w:rsid w:val="00C3200A"/>
    <w:rsid w:val="00C320F9"/>
    <w:rsid w:val="00C32118"/>
    <w:rsid w:val="00C3269F"/>
    <w:rsid w:val="00C327F0"/>
    <w:rsid w:val="00C32975"/>
    <w:rsid w:val="00C32A14"/>
    <w:rsid w:val="00C32D6B"/>
    <w:rsid w:val="00C32E44"/>
    <w:rsid w:val="00C3317C"/>
    <w:rsid w:val="00C3326E"/>
    <w:rsid w:val="00C332A3"/>
    <w:rsid w:val="00C33593"/>
    <w:rsid w:val="00C33D6B"/>
    <w:rsid w:val="00C33E01"/>
    <w:rsid w:val="00C34004"/>
    <w:rsid w:val="00C3442F"/>
    <w:rsid w:val="00C345AB"/>
    <w:rsid w:val="00C3480C"/>
    <w:rsid w:val="00C34ED9"/>
    <w:rsid w:val="00C34F13"/>
    <w:rsid w:val="00C35130"/>
    <w:rsid w:val="00C35308"/>
    <w:rsid w:val="00C3570B"/>
    <w:rsid w:val="00C35CF0"/>
    <w:rsid w:val="00C36102"/>
    <w:rsid w:val="00C36CD9"/>
    <w:rsid w:val="00C36FBD"/>
    <w:rsid w:val="00C370EE"/>
    <w:rsid w:val="00C371C1"/>
    <w:rsid w:val="00C371FD"/>
    <w:rsid w:val="00C3756B"/>
    <w:rsid w:val="00C375D9"/>
    <w:rsid w:val="00C37CED"/>
    <w:rsid w:val="00C40165"/>
    <w:rsid w:val="00C40F76"/>
    <w:rsid w:val="00C411B0"/>
    <w:rsid w:val="00C41404"/>
    <w:rsid w:val="00C41580"/>
    <w:rsid w:val="00C418BA"/>
    <w:rsid w:val="00C42108"/>
    <w:rsid w:val="00C42395"/>
    <w:rsid w:val="00C4246B"/>
    <w:rsid w:val="00C4253C"/>
    <w:rsid w:val="00C43178"/>
    <w:rsid w:val="00C433DD"/>
    <w:rsid w:val="00C439A8"/>
    <w:rsid w:val="00C43A2D"/>
    <w:rsid w:val="00C43EB4"/>
    <w:rsid w:val="00C43F1C"/>
    <w:rsid w:val="00C44146"/>
    <w:rsid w:val="00C441B8"/>
    <w:rsid w:val="00C45566"/>
    <w:rsid w:val="00C45CD2"/>
    <w:rsid w:val="00C45D7B"/>
    <w:rsid w:val="00C46297"/>
    <w:rsid w:val="00C46BAC"/>
    <w:rsid w:val="00C46BC7"/>
    <w:rsid w:val="00C46E57"/>
    <w:rsid w:val="00C47107"/>
    <w:rsid w:val="00C47374"/>
    <w:rsid w:val="00C47760"/>
    <w:rsid w:val="00C47C35"/>
    <w:rsid w:val="00C47E59"/>
    <w:rsid w:val="00C47FC8"/>
    <w:rsid w:val="00C50A8D"/>
    <w:rsid w:val="00C51524"/>
    <w:rsid w:val="00C5164E"/>
    <w:rsid w:val="00C51F01"/>
    <w:rsid w:val="00C524AA"/>
    <w:rsid w:val="00C532E4"/>
    <w:rsid w:val="00C5337D"/>
    <w:rsid w:val="00C534D7"/>
    <w:rsid w:val="00C53509"/>
    <w:rsid w:val="00C53BCB"/>
    <w:rsid w:val="00C53D54"/>
    <w:rsid w:val="00C54027"/>
    <w:rsid w:val="00C5478B"/>
    <w:rsid w:val="00C54849"/>
    <w:rsid w:val="00C55002"/>
    <w:rsid w:val="00C55023"/>
    <w:rsid w:val="00C55B2C"/>
    <w:rsid w:val="00C55C63"/>
    <w:rsid w:val="00C55F77"/>
    <w:rsid w:val="00C562D7"/>
    <w:rsid w:val="00C56338"/>
    <w:rsid w:val="00C56378"/>
    <w:rsid w:val="00C56A21"/>
    <w:rsid w:val="00C56CE5"/>
    <w:rsid w:val="00C56E12"/>
    <w:rsid w:val="00C5746A"/>
    <w:rsid w:val="00C575B4"/>
    <w:rsid w:val="00C57932"/>
    <w:rsid w:val="00C57CF2"/>
    <w:rsid w:val="00C57D0D"/>
    <w:rsid w:val="00C60037"/>
    <w:rsid w:val="00C60055"/>
    <w:rsid w:val="00C600FC"/>
    <w:rsid w:val="00C60180"/>
    <w:rsid w:val="00C606CE"/>
    <w:rsid w:val="00C60EA4"/>
    <w:rsid w:val="00C61101"/>
    <w:rsid w:val="00C61312"/>
    <w:rsid w:val="00C61AC1"/>
    <w:rsid w:val="00C61C03"/>
    <w:rsid w:val="00C61D48"/>
    <w:rsid w:val="00C622C1"/>
    <w:rsid w:val="00C625F3"/>
    <w:rsid w:val="00C62689"/>
    <w:rsid w:val="00C62B12"/>
    <w:rsid w:val="00C62D8D"/>
    <w:rsid w:val="00C634D3"/>
    <w:rsid w:val="00C6395F"/>
    <w:rsid w:val="00C639EC"/>
    <w:rsid w:val="00C63B09"/>
    <w:rsid w:val="00C63C1D"/>
    <w:rsid w:val="00C648E1"/>
    <w:rsid w:val="00C64B06"/>
    <w:rsid w:val="00C64DE3"/>
    <w:rsid w:val="00C64EFA"/>
    <w:rsid w:val="00C650B1"/>
    <w:rsid w:val="00C65562"/>
    <w:rsid w:val="00C65861"/>
    <w:rsid w:val="00C6594A"/>
    <w:rsid w:val="00C65A6F"/>
    <w:rsid w:val="00C65E34"/>
    <w:rsid w:val="00C65E65"/>
    <w:rsid w:val="00C65EBE"/>
    <w:rsid w:val="00C663A6"/>
    <w:rsid w:val="00C6640F"/>
    <w:rsid w:val="00C66463"/>
    <w:rsid w:val="00C6646F"/>
    <w:rsid w:val="00C66802"/>
    <w:rsid w:val="00C66823"/>
    <w:rsid w:val="00C66A4F"/>
    <w:rsid w:val="00C66C31"/>
    <w:rsid w:val="00C67028"/>
    <w:rsid w:val="00C67184"/>
    <w:rsid w:val="00C67206"/>
    <w:rsid w:val="00C67465"/>
    <w:rsid w:val="00C678FB"/>
    <w:rsid w:val="00C67910"/>
    <w:rsid w:val="00C67AE0"/>
    <w:rsid w:val="00C70426"/>
    <w:rsid w:val="00C70438"/>
    <w:rsid w:val="00C70AC2"/>
    <w:rsid w:val="00C70F8D"/>
    <w:rsid w:val="00C71337"/>
    <w:rsid w:val="00C722BB"/>
    <w:rsid w:val="00C72964"/>
    <w:rsid w:val="00C729AC"/>
    <w:rsid w:val="00C72A58"/>
    <w:rsid w:val="00C72BE8"/>
    <w:rsid w:val="00C73690"/>
    <w:rsid w:val="00C7388B"/>
    <w:rsid w:val="00C73D2B"/>
    <w:rsid w:val="00C74033"/>
    <w:rsid w:val="00C74123"/>
    <w:rsid w:val="00C74293"/>
    <w:rsid w:val="00C748E3"/>
    <w:rsid w:val="00C75B64"/>
    <w:rsid w:val="00C75D9E"/>
    <w:rsid w:val="00C75DCB"/>
    <w:rsid w:val="00C75FDC"/>
    <w:rsid w:val="00C7604B"/>
    <w:rsid w:val="00C7634F"/>
    <w:rsid w:val="00C7687A"/>
    <w:rsid w:val="00C76B16"/>
    <w:rsid w:val="00C76B65"/>
    <w:rsid w:val="00C77548"/>
    <w:rsid w:val="00C77E2D"/>
    <w:rsid w:val="00C8016D"/>
    <w:rsid w:val="00C8024A"/>
    <w:rsid w:val="00C80310"/>
    <w:rsid w:val="00C8034B"/>
    <w:rsid w:val="00C80758"/>
    <w:rsid w:val="00C815EF"/>
    <w:rsid w:val="00C81B7C"/>
    <w:rsid w:val="00C81EA7"/>
    <w:rsid w:val="00C82672"/>
    <w:rsid w:val="00C82C02"/>
    <w:rsid w:val="00C8329B"/>
    <w:rsid w:val="00C83556"/>
    <w:rsid w:val="00C83A06"/>
    <w:rsid w:val="00C83E31"/>
    <w:rsid w:val="00C841F4"/>
    <w:rsid w:val="00C8457B"/>
    <w:rsid w:val="00C84827"/>
    <w:rsid w:val="00C852C9"/>
    <w:rsid w:val="00C85592"/>
    <w:rsid w:val="00C85BDE"/>
    <w:rsid w:val="00C8604C"/>
    <w:rsid w:val="00C8622B"/>
    <w:rsid w:val="00C86A17"/>
    <w:rsid w:val="00C86B7B"/>
    <w:rsid w:val="00C86DD1"/>
    <w:rsid w:val="00C87191"/>
    <w:rsid w:val="00C8745D"/>
    <w:rsid w:val="00C8767D"/>
    <w:rsid w:val="00C87BC6"/>
    <w:rsid w:val="00C87BFA"/>
    <w:rsid w:val="00C90156"/>
    <w:rsid w:val="00C90195"/>
    <w:rsid w:val="00C90294"/>
    <w:rsid w:val="00C90CAB"/>
    <w:rsid w:val="00C91095"/>
    <w:rsid w:val="00C91100"/>
    <w:rsid w:val="00C9132B"/>
    <w:rsid w:val="00C915D7"/>
    <w:rsid w:val="00C9248C"/>
    <w:rsid w:val="00C925A7"/>
    <w:rsid w:val="00C927AB"/>
    <w:rsid w:val="00C927E8"/>
    <w:rsid w:val="00C92ABE"/>
    <w:rsid w:val="00C92D2B"/>
    <w:rsid w:val="00C92FA0"/>
    <w:rsid w:val="00C93267"/>
    <w:rsid w:val="00C932B4"/>
    <w:rsid w:val="00C94085"/>
    <w:rsid w:val="00C942ED"/>
    <w:rsid w:val="00C94484"/>
    <w:rsid w:val="00C94D7A"/>
    <w:rsid w:val="00C94F60"/>
    <w:rsid w:val="00C955F0"/>
    <w:rsid w:val="00C95806"/>
    <w:rsid w:val="00C964BA"/>
    <w:rsid w:val="00C96BC2"/>
    <w:rsid w:val="00C96DC0"/>
    <w:rsid w:val="00C96DC6"/>
    <w:rsid w:val="00C97D7B"/>
    <w:rsid w:val="00C97F24"/>
    <w:rsid w:val="00CA002A"/>
    <w:rsid w:val="00CA0225"/>
    <w:rsid w:val="00CA0479"/>
    <w:rsid w:val="00CA0846"/>
    <w:rsid w:val="00CA0F4B"/>
    <w:rsid w:val="00CA0F77"/>
    <w:rsid w:val="00CA0F83"/>
    <w:rsid w:val="00CA1475"/>
    <w:rsid w:val="00CA1AD4"/>
    <w:rsid w:val="00CA1D86"/>
    <w:rsid w:val="00CA288B"/>
    <w:rsid w:val="00CA2BA4"/>
    <w:rsid w:val="00CA2DF7"/>
    <w:rsid w:val="00CA2E53"/>
    <w:rsid w:val="00CA30C8"/>
    <w:rsid w:val="00CA31D0"/>
    <w:rsid w:val="00CA341B"/>
    <w:rsid w:val="00CA3B18"/>
    <w:rsid w:val="00CA3C98"/>
    <w:rsid w:val="00CA3F7F"/>
    <w:rsid w:val="00CA412F"/>
    <w:rsid w:val="00CA429B"/>
    <w:rsid w:val="00CA42DA"/>
    <w:rsid w:val="00CA439F"/>
    <w:rsid w:val="00CA46B0"/>
    <w:rsid w:val="00CA4834"/>
    <w:rsid w:val="00CA4CF8"/>
    <w:rsid w:val="00CA4F99"/>
    <w:rsid w:val="00CA4FB0"/>
    <w:rsid w:val="00CA5113"/>
    <w:rsid w:val="00CA521A"/>
    <w:rsid w:val="00CA5432"/>
    <w:rsid w:val="00CA5653"/>
    <w:rsid w:val="00CA576C"/>
    <w:rsid w:val="00CA57E5"/>
    <w:rsid w:val="00CA58B0"/>
    <w:rsid w:val="00CA62E6"/>
    <w:rsid w:val="00CA694D"/>
    <w:rsid w:val="00CA6A98"/>
    <w:rsid w:val="00CA704D"/>
    <w:rsid w:val="00CA747C"/>
    <w:rsid w:val="00CA76D2"/>
    <w:rsid w:val="00CA7795"/>
    <w:rsid w:val="00CB0695"/>
    <w:rsid w:val="00CB06AD"/>
    <w:rsid w:val="00CB06ED"/>
    <w:rsid w:val="00CB08B7"/>
    <w:rsid w:val="00CB1231"/>
    <w:rsid w:val="00CB1385"/>
    <w:rsid w:val="00CB1646"/>
    <w:rsid w:val="00CB16A8"/>
    <w:rsid w:val="00CB18A1"/>
    <w:rsid w:val="00CB1B38"/>
    <w:rsid w:val="00CB1C5B"/>
    <w:rsid w:val="00CB1E10"/>
    <w:rsid w:val="00CB27EC"/>
    <w:rsid w:val="00CB2941"/>
    <w:rsid w:val="00CB2FC2"/>
    <w:rsid w:val="00CB3006"/>
    <w:rsid w:val="00CB3B7C"/>
    <w:rsid w:val="00CB3FF7"/>
    <w:rsid w:val="00CB434D"/>
    <w:rsid w:val="00CB4BE3"/>
    <w:rsid w:val="00CB4C07"/>
    <w:rsid w:val="00CB53D7"/>
    <w:rsid w:val="00CB577B"/>
    <w:rsid w:val="00CB5E97"/>
    <w:rsid w:val="00CB687A"/>
    <w:rsid w:val="00CB7223"/>
    <w:rsid w:val="00CB7384"/>
    <w:rsid w:val="00CB79A0"/>
    <w:rsid w:val="00CB7EBA"/>
    <w:rsid w:val="00CC0101"/>
    <w:rsid w:val="00CC0685"/>
    <w:rsid w:val="00CC08CF"/>
    <w:rsid w:val="00CC095B"/>
    <w:rsid w:val="00CC0E17"/>
    <w:rsid w:val="00CC0F9A"/>
    <w:rsid w:val="00CC1BE3"/>
    <w:rsid w:val="00CC2142"/>
    <w:rsid w:val="00CC2A93"/>
    <w:rsid w:val="00CC371C"/>
    <w:rsid w:val="00CC3E03"/>
    <w:rsid w:val="00CC4166"/>
    <w:rsid w:val="00CC43AA"/>
    <w:rsid w:val="00CC44EB"/>
    <w:rsid w:val="00CC45DA"/>
    <w:rsid w:val="00CC47B0"/>
    <w:rsid w:val="00CC5DA4"/>
    <w:rsid w:val="00CC5EEE"/>
    <w:rsid w:val="00CC646B"/>
    <w:rsid w:val="00CC6B12"/>
    <w:rsid w:val="00CC6B2C"/>
    <w:rsid w:val="00CC6B6A"/>
    <w:rsid w:val="00CC6E2A"/>
    <w:rsid w:val="00CC7919"/>
    <w:rsid w:val="00CC7992"/>
    <w:rsid w:val="00CC7D5D"/>
    <w:rsid w:val="00CC7DE0"/>
    <w:rsid w:val="00CD033D"/>
    <w:rsid w:val="00CD0463"/>
    <w:rsid w:val="00CD0A1F"/>
    <w:rsid w:val="00CD0D4E"/>
    <w:rsid w:val="00CD0F60"/>
    <w:rsid w:val="00CD0F75"/>
    <w:rsid w:val="00CD1088"/>
    <w:rsid w:val="00CD1390"/>
    <w:rsid w:val="00CD1C98"/>
    <w:rsid w:val="00CD214B"/>
    <w:rsid w:val="00CD2201"/>
    <w:rsid w:val="00CD2231"/>
    <w:rsid w:val="00CD23E3"/>
    <w:rsid w:val="00CD31EC"/>
    <w:rsid w:val="00CD354A"/>
    <w:rsid w:val="00CD3648"/>
    <w:rsid w:val="00CD39C5"/>
    <w:rsid w:val="00CD4635"/>
    <w:rsid w:val="00CD4D05"/>
    <w:rsid w:val="00CD555D"/>
    <w:rsid w:val="00CD5854"/>
    <w:rsid w:val="00CD5F23"/>
    <w:rsid w:val="00CD6170"/>
    <w:rsid w:val="00CD645C"/>
    <w:rsid w:val="00CD7586"/>
    <w:rsid w:val="00CD7671"/>
    <w:rsid w:val="00CD76B2"/>
    <w:rsid w:val="00CD76DD"/>
    <w:rsid w:val="00CD77EF"/>
    <w:rsid w:val="00CD79F6"/>
    <w:rsid w:val="00CD7F01"/>
    <w:rsid w:val="00CE057A"/>
    <w:rsid w:val="00CE0B9B"/>
    <w:rsid w:val="00CE0DEF"/>
    <w:rsid w:val="00CE1333"/>
    <w:rsid w:val="00CE1D73"/>
    <w:rsid w:val="00CE2173"/>
    <w:rsid w:val="00CE21D6"/>
    <w:rsid w:val="00CE2A14"/>
    <w:rsid w:val="00CE2DBF"/>
    <w:rsid w:val="00CE2DC7"/>
    <w:rsid w:val="00CE2DF9"/>
    <w:rsid w:val="00CE3308"/>
    <w:rsid w:val="00CE35A2"/>
    <w:rsid w:val="00CE35F6"/>
    <w:rsid w:val="00CE3A4A"/>
    <w:rsid w:val="00CE3D7D"/>
    <w:rsid w:val="00CE44D5"/>
    <w:rsid w:val="00CE48E3"/>
    <w:rsid w:val="00CE4A15"/>
    <w:rsid w:val="00CE4A64"/>
    <w:rsid w:val="00CE5005"/>
    <w:rsid w:val="00CE5150"/>
    <w:rsid w:val="00CE554E"/>
    <w:rsid w:val="00CE574F"/>
    <w:rsid w:val="00CE5A14"/>
    <w:rsid w:val="00CE5B38"/>
    <w:rsid w:val="00CE60C1"/>
    <w:rsid w:val="00CE60FB"/>
    <w:rsid w:val="00CE64D7"/>
    <w:rsid w:val="00CE6624"/>
    <w:rsid w:val="00CE68A4"/>
    <w:rsid w:val="00CE6DFB"/>
    <w:rsid w:val="00CE72FC"/>
    <w:rsid w:val="00CE74D1"/>
    <w:rsid w:val="00CE7A72"/>
    <w:rsid w:val="00CF1179"/>
    <w:rsid w:val="00CF1D43"/>
    <w:rsid w:val="00CF2548"/>
    <w:rsid w:val="00CF29A9"/>
    <w:rsid w:val="00CF2C40"/>
    <w:rsid w:val="00CF2EB2"/>
    <w:rsid w:val="00CF3FC4"/>
    <w:rsid w:val="00CF437A"/>
    <w:rsid w:val="00CF4522"/>
    <w:rsid w:val="00CF499F"/>
    <w:rsid w:val="00CF4B70"/>
    <w:rsid w:val="00CF4BFD"/>
    <w:rsid w:val="00CF588B"/>
    <w:rsid w:val="00CF5AC5"/>
    <w:rsid w:val="00CF6063"/>
    <w:rsid w:val="00CF6511"/>
    <w:rsid w:val="00CF6D96"/>
    <w:rsid w:val="00CF7BB9"/>
    <w:rsid w:val="00D002AE"/>
    <w:rsid w:val="00D00D5C"/>
    <w:rsid w:val="00D00E54"/>
    <w:rsid w:val="00D00FF7"/>
    <w:rsid w:val="00D01342"/>
    <w:rsid w:val="00D01E8D"/>
    <w:rsid w:val="00D02538"/>
    <w:rsid w:val="00D026C5"/>
    <w:rsid w:val="00D02BBC"/>
    <w:rsid w:val="00D02D4D"/>
    <w:rsid w:val="00D02ECF"/>
    <w:rsid w:val="00D03403"/>
    <w:rsid w:val="00D03A1C"/>
    <w:rsid w:val="00D042B6"/>
    <w:rsid w:val="00D042CF"/>
    <w:rsid w:val="00D04D1A"/>
    <w:rsid w:val="00D05A42"/>
    <w:rsid w:val="00D05C8C"/>
    <w:rsid w:val="00D05D94"/>
    <w:rsid w:val="00D063D4"/>
    <w:rsid w:val="00D063DD"/>
    <w:rsid w:val="00D0699B"/>
    <w:rsid w:val="00D06B7C"/>
    <w:rsid w:val="00D06C29"/>
    <w:rsid w:val="00D06F59"/>
    <w:rsid w:val="00D07EDB"/>
    <w:rsid w:val="00D103FB"/>
    <w:rsid w:val="00D10709"/>
    <w:rsid w:val="00D1076A"/>
    <w:rsid w:val="00D10BD7"/>
    <w:rsid w:val="00D11441"/>
    <w:rsid w:val="00D1179A"/>
    <w:rsid w:val="00D117D0"/>
    <w:rsid w:val="00D11929"/>
    <w:rsid w:val="00D123FE"/>
    <w:rsid w:val="00D13700"/>
    <w:rsid w:val="00D137BD"/>
    <w:rsid w:val="00D13C4B"/>
    <w:rsid w:val="00D13D49"/>
    <w:rsid w:val="00D13DD8"/>
    <w:rsid w:val="00D1408F"/>
    <w:rsid w:val="00D14F5A"/>
    <w:rsid w:val="00D15207"/>
    <w:rsid w:val="00D15625"/>
    <w:rsid w:val="00D15656"/>
    <w:rsid w:val="00D15892"/>
    <w:rsid w:val="00D15D0D"/>
    <w:rsid w:val="00D16529"/>
    <w:rsid w:val="00D16BBA"/>
    <w:rsid w:val="00D175EA"/>
    <w:rsid w:val="00D17763"/>
    <w:rsid w:val="00D17D9E"/>
    <w:rsid w:val="00D200EA"/>
    <w:rsid w:val="00D20AD6"/>
    <w:rsid w:val="00D20BAC"/>
    <w:rsid w:val="00D20FB9"/>
    <w:rsid w:val="00D21152"/>
    <w:rsid w:val="00D215BA"/>
    <w:rsid w:val="00D224D8"/>
    <w:rsid w:val="00D22820"/>
    <w:rsid w:val="00D229CB"/>
    <w:rsid w:val="00D2330B"/>
    <w:rsid w:val="00D23620"/>
    <w:rsid w:val="00D239AE"/>
    <w:rsid w:val="00D239EA"/>
    <w:rsid w:val="00D23BA5"/>
    <w:rsid w:val="00D24111"/>
    <w:rsid w:val="00D2411C"/>
    <w:rsid w:val="00D2415E"/>
    <w:rsid w:val="00D244B0"/>
    <w:rsid w:val="00D24BE6"/>
    <w:rsid w:val="00D24CCD"/>
    <w:rsid w:val="00D254AF"/>
    <w:rsid w:val="00D257D3"/>
    <w:rsid w:val="00D258AE"/>
    <w:rsid w:val="00D26089"/>
    <w:rsid w:val="00D26156"/>
    <w:rsid w:val="00D264F9"/>
    <w:rsid w:val="00D26522"/>
    <w:rsid w:val="00D26E3B"/>
    <w:rsid w:val="00D27034"/>
    <w:rsid w:val="00D271C8"/>
    <w:rsid w:val="00D27378"/>
    <w:rsid w:val="00D27CD4"/>
    <w:rsid w:val="00D30025"/>
    <w:rsid w:val="00D30145"/>
    <w:rsid w:val="00D30267"/>
    <w:rsid w:val="00D308D2"/>
    <w:rsid w:val="00D3114B"/>
    <w:rsid w:val="00D3135D"/>
    <w:rsid w:val="00D31544"/>
    <w:rsid w:val="00D31783"/>
    <w:rsid w:val="00D31B48"/>
    <w:rsid w:val="00D32170"/>
    <w:rsid w:val="00D3246F"/>
    <w:rsid w:val="00D329B9"/>
    <w:rsid w:val="00D329E0"/>
    <w:rsid w:val="00D32A92"/>
    <w:rsid w:val="00D32AC2"/>
    <w:rsid w:val="00D32AD4"/>
    <w:rsid w:val="00D32AD5"/>
    <w:rsid w:val="00D334D2"/>
    <w:rsid w:val="00D3350E"/>
    <w:rsid w:val="00D33633"/>
    <w:rsid w:val="00D33ED0"/>
    <w:rsid w:val="00D3420C"/>
    <w:rsid w:val="00D342B3"/>
    <w:rsid w:val="00D343D4"/>
    <w:rsid w:val="00D3448D"/>
    <w:rsid w:val="00D34883"/>
    <w:rsid w:val="00D348A7"/>
    <w:rsid w:val="00D34A9A"/>
    <w:rsid w:val="00D34ACD"/>
    <w:rsid w:val="00D34DA1"/>
    <w:rsid w:val="00D36A0E"/>
    <w:rsid w:val="00D36B2C"/>
    <w:rsid w:val="00D36B46"/>
    <w:rsid w:val="00D36D6D"/>
    <w:rsid w:val="00D3761F"/>
    <w:rsid w:val="00D37880"/>
    <w:rsid w:val="00D37A49"/>
    <w:rsid w:val="00D40033"/>
    <w:rsid w:val="00D402DC"/>
    <w:rsid w:val="00D4082C"/>
    <w:rsid w:val="00D40C94"/>
    <w:rsid w:val="00D40FD8"/>
    <w:rsid w:val="00D40FE8"/>
    <w:rsid w:val="00D412FF"/>
    <w:rsid w:val="00D41392"/>
    <w:rsid w:val="00D41987"/>
    <w:rsid w:val="00D41FF5"/>
    <w:rsid w:val="00D42084"/>
    <w:rsid w:val="00D420B2"/>
    <w:rsid w:val="00D42339"/>
    <w:rsid w:val="00D428F1"/>
    <w:rsid w:val="00D42CFA"/>
    <w:rsid w:val="00D42DD6"/>
    <w:rsid w:val="00D43144"/>
    <w:rsid w:val="00D4368B"/>
    <w:rsid w:val="00D436A8"/>
    <w:rsid w:val="00D43BA4"/>
    <w:rsid w:val="00D43FF9"/>
    <w:rsid w:val="00D44187"/>
    <w:rsid w:val="00D44195"/>
    <w:rsid w:val="00D44B2A"/>
    <w:rsid w:val="00D44C69"/>
    <w:rsid w:val="00D44F86"/>
    <w:rsid w:val="00D45510"/>
    <w:rsid w:val="00D4562E"/>
    <w:rsid w:val="00D4567D"/>
    <w:rsid w:val="00D45817"/>
    <w:rsid w:val="00D460C6"/>
    <w:rsid w:val="00D46BFB"/>
    <w:rsid w:val="00D46E9A"/>
    <w:rsid w:val="00D47837"/>
    <w:rsid w:val="00D50103"/>
    <w:rsid w:val="00D50146"/>
    <w:rsid w:val="00D5054B"/>
    <w:rsid w:val="00D5064B"/>
    <w:rsid w:val="00D5075B"/>
    <w:rsid w:val="00D50ED2"/>
    <w:rsid w:val="00D5171B"/>
    <w:rsid w:val="00D51B7E"/>
    <w:rsid w:val="00D51D42"/>
    <w:rsid w:val="00D52F72"/>
    <w:rsid w:val="00D53146"/>
    <w:rsid w:val="00D53264"/>
    <w:rsid w:val="00D53739"/>
    <w:rsid w:val="00D53761"/>
    <w:rsid w:val="00D53C45"/>
    <w:rsid w:val="00D53D60"/>
    <w:rsid w:val="00D545AC"/>
    <w:rsid w:val="00D54B22"/>
    <w:rsid w:val="00D557AB"/>
    <w:rsid w:val="00D558FB"/>
    <w:rsid w:val="00D55B05"/>
    <w:rsid w:val="00D55EE3"/>
    <w:rsid w:val="00D55F47"/>
    <w:rsid w:val="00D55FCC"/>
    <w:rsid w:val="00D5607F"/>
    <w:rsid w:val="00D564C2"/>
    <w:rsid w:val="00D571F2"/>
    <w:rsid w:val="00D57392"/>
    <w:rsid w:val="00D5760A"/>
    <w:rsid w:val="00D57C4B"/>
    <w:rsid w:val="00D601FC"/>
    <w:rsid w:val="00D603B1"/>
    <w:rsid w:val="00D6062C"/>
    <w:rsid w:val="00D60841"/>
    <w:rsid w:val="00D60881"/>
    <w:rsid w:val="00D60975"/>
    <w:rsid w:val="00D60A83"/>
    <w:rsid w:val="00D60DA9"/>
    <w:rsid w:val="00D60F49"/>
    <w:rsid w:val="00D61351"/>
    <w:rsid w:val="00D61683"/>
    <w:rsid w:val="00D61C2B"/>
    <w:rsid w:val="00D61DCD"/>
    <w:rsid w:val="00D624E3"/>
    <w:rsid w:val="00D62EB2"/>
    <w:rsid w:val="00D630FF"/>
    <w:rsid w:val="00D63241"/>
    <w:rsid w:val="00D636FF"/>
    <w:rsid w:val="00D63C2C"/>
    <w:rsid w:val="00D63DB2"/>
    <w:rsid w:val="00D6405E"/>
    <w:rsid w:val="00D64255"/>
    <w:rsid w:val="00D64426"/>
    <w:rsid w:val="00D65262"/>
    <w:rsid w:val="00D65E82"/>
    <w:rsid w:val="00D661C8"/>
    <w:rsid w:val="00D66906"/>
    <w:rsid w:val="00D66912"/>
    <w:rsid w:val="00D6694E"/>
    <w:rsid w:val="00D67900"/>
    <w:rsid w:val="00D67994"/>
    <w:rsid w:val="00D679C1"/>
    <w:rsid w:val="00D67A6B"/>
    <w:rsid w:val="00D67A8B"/>
    <w:rsid w:val="00D70363"/>
    <w:rsid w:val="00D709A8"/>
    <w:rsid w:val="00D70BC7"/>
    <w:rsid w:val="00D70FB5"/>
    <w:rsid w:val="00D7108A"/>
    <w:rsid w:val="00D71785"/>
    <w:rsid w:val="00D71AAE"/>
    <w:rsid w:val="00D71C63"/>
    <w:rsid w:val="00D72057"/>
    <w:rsid w:val="00D720AC"/>
    <w:rsid w:val="00D722BE"/>
    <w:rsid w:val="00D72D68"/>
    <w:rsid w:val="00D730DF"/>
    <w:rsid w:val="00D73777"/>
    <w:rsid w:val="00D73B6B"/>
    <w:rsid w:val="00D7401C"/>
    <w:rsid w:val="00D74150"/>
    <w:rsid w:val="00D74524"/>
    <w:rsid w:val="00D745A7"/>
    <w:rsid w:val="00D74B69"/>
    <w:rsid w:val="00D74E2B"/>
    <w:rsid w:val="00D7540F"/>
    <w:rsid w:val="00D756AB"/>
    <w:rsid w:val="00D758CE"/>
    <w:rsid w:val="00D75FC1"/>
    <w:rsid w:val="00D764E4"/>
    <w:rsid w:val="00D77076"/>
    <w:rsid w:val="00D77CC0"/>
    <w:rsid w:val="00D77D89"/>
    <w:rsid w:val="00D803E8"/>
    <w:rsid w:val="00D806F7"/>
    <w:rsid w:val="00D80813"/>
    <w:rsid w:val="00D81094"/>
    <w:rsid w:val="00D81966"/>
    <w:rsid w:val="00D8199F"/>
    <w:rsid w:val="00D829D4"/>
    <w:rsid w:val="00D82EDF"/>
    <w:rsid w:val="00D83BEB"/>
    <w:rsid w:val="00D83DFC"/>
    <w:rsid w:val="00D83F12"/>
    <w:rsid w:val="00D83F9B"/>
    <w:rsid w:val="00D84391"/>
    <w:rsid w:val="00D846A6"/>
    <w:rsid w:val="00D84813"/>
    <w:rsid w:val="00D84919"/>
    <w:rsid w:val="00D84CD3"/>
    <w:rsid w:val="00D84D25"/>
    <w:rsid w:val="00D85034"/>
    <w:rsid w:val="00D85185"/>
    <w:rsid w:val="00D85861"/>
    <w:rsid w:val="00D866CD"/>
    <w:rsid w:val="00D86995"/>
    <w:rsid w:val="00D869FF"/>
    <w:rsid w:val="00D86D08"/>
    <w:rsid w:val="00D86D11"/>
    <w:rsid w:val="00D873F5"/>
    <w:rsid w:val="00D87B01"/>
    <w:rsid w:val="00D87F7A"/>
    <w:rsid w:val="00D908DE"/>
    <w:rsid w:val="00D90CDC"/>
    <w:rsid w:val="00D90F39"/>
    <w:rsid w:val="00D913C2"/>
    <w:rsid w:val="00D917CE"/>
    <w:rsid w:val="00D91AA4"/>
    <w:rsid w:val="00D91DCA"/>
    <w:rsid w:val="00D91FA9"/>
    <w:rsid w:val="00D920D5"/>
    <w:rsid w:val="00D922AA"/>
    <w:rsid w:val="00D92947"/>
    <w:rsid w:val="00D92A88"/>
    <w:rsid w:val="00D92B5D"/>
    <w:rsid w:val="00D92E13"/>
    <w:rsid w:val="00D92E17"/>
    <w:rsid w:val="00D93684"/>
    <w:rsid w:val="00D943D6"/>
    <w:rsid w:val="00D9478D"/>
    <w:rsid w:val="00D953F6"/>
    <w:rsid w:val="00D95441"/>
    <w:rsid w:val="00D95675"/>
    <w:rsid w:val="00D95973"/>
    <w:rsid w:val="00D96657"/>
    <w:rsid w:val="00D9736D"/>
    <w:rsid w:val="00D97619"/>
    <w:rsid w:val="00D97C2D"/>
    <w:rsid w:val="00DA0019"/>
    <w:rsid w:val="00DA0185"/>
    <w:rsid w:val="00DA02BF"/>
    <w:rsid w:val="00DA09FD"/>
    <w:rsid w:val="00DA1329"/>
    <w:rsid w:val="00DA1604"/>
    <w:rsid w:val="00DA1612"/>
    <w:rsid w:val="00DA166F"/>
    <w:rsid w:val="00DA16FD"/>
    <w:rsid w:val="00DA186B"/>
    <w:rsid w:val="00DA1ACB"/>
    <w:rsid w:val="00DA230F"/>
    <w:rsid w:val="00DA23C6"/>
    <w:rsid w:val="00DA2853"/>
    <w:rsid w:val="00DA2983"/>
    <w:rsid w:val="00DA2A96"/>
    <w:rsid w:val="00DA31DD"/>
    <w:rsid w:val="00DA35F9"/>
    <w:rsid w:val="00DA3746"/>
    <w:rsid w:val="00DA3CE0"/>
    <w:rsid w:val="00DA4075"/>
    <w:rsid w:val="00DA40A2"/>
    <w:rsid w:val="00DA41AD"/>
    <w:rsid w:val="00DA454E"/>
    <w:rsid w:val="00DA468D"/>
    <w:rsid w:val="00DA46C5"/>
    <w:rsid w:val="00DA48A5"/>
    <w:rsid w:val="00DA4AF9"/>
    <w:rsid w:val="00DA4EFD"/>
    <w:rsid w:val="00DA4FCF"/>
    <w:rsid w:val="00DA5114"/>
    <w:rsid w:val="00DA5219"/>
    <w:rsid w:val="00DA5531"/>
    <w:rsid w:val="00DA56D1"/>
    <w:rsid w:val="00DA57F6"/>
    <w:rsid w:val="00DA5ECC"/>
    <w:rsid w:val="00DA62B9"/>
    <w:rsid w:val="00DA647E"/>
    <w:rsid w:val="00DA6B02"/>
    <w:rsid w:val="00DA717C"/>
    <w:rsid w:val="00DA7AD7"/>
    <w:rsid w:val="00DA7BFC"/>
    <w:rsid w:val="00DA7D3D"/>
    <w:rsid w:val="00DA7DB8"/>
    <w:rsid w:val="00DB08F8"/>
    <w:rsid w:val="00DB0F6F"/>
    <w:rsid w:val="00DB106F"/>
    <w:rsid w:val="00DB11F6"/>
    <w:rsid w:val="00DB123B"/>
    <w:rsid w:val="00DB1338"/>
    <w:rsid w:val="00DB19AD"/>
    <w:rsid w:val="00DB1B8E"/>
    <w:rsid w:val="00DB2004"/>
    <w:rsid w:val="00DB20C7"/>
    <w:rsid w:val="00DB21A6"/>
    <w:rsid w:val="00DB244B"/>
    <w:rsid w:val="00DB288C"/>
    <w:rsid w:val="00DB2C2A"/>
    <w:rsid w:val="00DB3089"/>
    <w:rsid w:val="00DB3473"/>
    <w:rsid w:val="00DB3B4E"/>
    <w:rsid w:val="00DB4346"/>
    <w:rsid w:val="00DB4A10"/>
    <w:rsid w:val="00DB5142"/>
    <w:rsid w:val="00DB5A27"/>
    <w:rsid w:val="00DB60BF"/>
    <w:rsid w:val="00DB661E"/>
    <w:rsid w:val="00DB662E"/>
    <w:rsid w:val="00DB67FC"/>
    <w:rsid w:val="00DB68F1"/>
    <w:rsid w:val="00DB6B70"/>
    <w:rsid w:val="00DB6C85"/>
    <w:rsid w:val="00DB6D3F"/>
    <w:rsid w:val="00DB6E80"/>
    <w:rsid w:val="00DB73C0"/>
    <w:rsid w:val="00DB7712"/>
    <w:rsid w:val="00DB7A1A"/>
    <w:rsid w:val="00DB7BF4"/>
    <w:rsid w:val="00DB7D98"/>
    <w:rsid w:val="00DC0533"/>
    <w:rsid w:val="00DC0888"/>
    <w:rsid w:val="00DC0A09"/>
    <w:rsid w:val="00DC0D0A"/>
    <w:rsid w:val="00DC11A8"/>
    <w:rsid w:val="00DC11C9"/>
    <w:rsid w:val="00DC132D"/>
    <w:rsid w:val="00DC16BF"/>
    <w:rsid w:val="00DC1812"/>
    <w:rsid w:val="00DC1B19"/>
    <w:rsid w:val="00DC24F0"/>
    <w:rsid w:val="00DC260C"/>
    <w:rsid w:val="00DC29F7"/>
    <w:rsid w:val="00DC2F23"/>
    <w:rsid w:val="00DC3319"/>
    <w:rsid w:val="00DC3323"/>
    <w:rsid w:val="00DC365F"/>
    <w:rsid w:val="00DC3711"/>
    <w:rsid w:val="00DC3EC9"/>
    <w:rsid w:val="00DC462D"/>
    <w:rsid w:val="00DC4A9E"/>
    <w:rsid w:val="00DC5920"/>
    <w:rsid w:val="00DC5984"/>
    <w:rsid w:val="00DC5ADC"/>
    <w:rsid w:val="00DC5AFB"/>
    <w:rsid w:val="00DC5E77"/>
    <w:rsid w:val="00DC61F5"/>
    <w:rsid w:val="00DC6539"/>
    <w:rsid w:val="00DC6704"/>
    <w:rsid w:val="00DC675F"/>
    <w:rsid w:val="00DC6A92"/>
    <w:rsid w:val="00DC6BF4"/>
    <w:rsid w:val="00DC71EE"/>
    <w:rsid w:val="00DC723A"/>
    <w:rsid w:val="00DC7283"/>
    <w:rsid w:val="00DC799B"/>
    <w:rsid w:val="00DC7D3B"/>
    <w:rsid w:val="00DC7EFD"/>
    <w:rsid w:val="00DD00ED"/>
    <w:rsid w:val="00DD018A"/>
    <w:rsid w:val="00DD023C"/>
    <w:rsid w:val="00DD071E"/>
    <w:rsid w:val="00DD08AE"/>
    <w:rsid w:val="00DD0AB1"/>
    <w:rsid w:val="00DD0DCC"/>
    <w:rsid w:val="00DD0F4F"/>
    <w:rsid w:val="00DD10F2"/>
    <w:rsid w:val="00DD155C"/>
    <w:rsid w:val="00DD15A4"/>
    <w:rsid w:val="00DD1C13"/>
    <w:rsid w:val="00DD1E9A"/>
    <w:rsid w:val="00DD1EC9"/>
    <w:rsid w:val="00DD215B"/>
    <w:rsid w:val="00DD2942"/>
    <w:rsid w:val="00DD2B8F"/>
    <w:rsid w:val="00DD2DCA"/>
    <w:rsid w:val="00DD3D12"/>
    <w:rsid w:val="00DD4A42"/>
    <w:rsid w:val="00DD4CF5"/>
    <w:rsid w:val="00DD4CF8"/>
    <w:rsid w:val="00DD4D29"/>
    <w:rsid w:val="00DD4F49"/>
    <w:rsid w:val="00DD5153"/>
    <w:rsid w:val="00DD5277"/>
    <w:rsid w:val="00DD52DF"/>
    <w:rsid w:val="00DD5713"/>
    <w:rsid w:val="00DD5997"/>
    <w:rsid w:val="00DD5D64"/>
    <w:rsid w:val="00DD620A"/>
    <w:rsid w:val="00DD6AD2"/>
    <w:rsid w:val="00DD6B26"/>
    <w:rsid w:val="00DD6F32"/>
    <w:rsid w:val="00DD78BF"/>
    <w:rsid w:val="00DD7F86"/>
    <w:rsid w:val="00DE05C4"/>
    <w:rsid w:val="00DE19E1"/>
    <w:rsid w:val="00DE2426"/>
    <w:rsid w:val="00DE2792"/>
    <w:rsid w:val="00DE281B"/>
    <w:rsid w:val="00DE2B0A"/>
    <w:rsid w:val="00DE2C51"/>
    <w:rsid w:val="00DE2D2C"/>
    <w:rsid w:val="00DE2D35"/>
    <w:rsid w:val="00DE2F45"/>
    <w:rsid w:val="00DE2FC3"/>
    <w:rsid w:val="00DE357E"/>
    <w:rsid w:val="00DE3636"/>
    <w:rsid w:val="00DE37B4"/>
    <w:rsid w:val="00DE3BAD"/>
    <w:rsid w:val="00DE435F"/>
    <w:rsid w:val="00DE4ADC"/>
    <w:rsid w:val="00DE4EB6"/>
    <w:rsid w:val="00DE51FB"/>
    <w:rsid w:val="00DE5A7F"/>
    <w:rsid w:val="00DE632E"/>
    <w:rsid w:val="00DE63AE"/>
    <w:rsid w:val="00DE654D"/>
    <w:rsid w:val="00DE6C7F"/>
    <w:rsid w:val="00DE7358"/>
    <w:rsid w:val="00DE757E"/>
    <w:rsid w:val="00DE75AC"/>
    <w:rsid w:val="00DE7B7D"/>
    <w:rsid w:val="00DE7BF9"/>
    <w:rsid w:val="00DE7EAF"/>
    <w:rsid w:val="00DF087A"/>
    <w:rsid w:val="00DF0E2D"/>
    <w:rsid w:val="00DF1723"/>
    <w:rsid w:val="00DF190C"/>
    <w:rsid w:val="00DF1AFF"/>
    <w:rsid w:val="00DF1B6B"/>
    <w:rsid w:val="00DF1B98"/>
    <w:rsid w:val="00DF1C77"/>
    <w:rsid w:val="00DF2301"/>
    <w:rsid w:val="00DF2318"/>
    <w:rsid w:val="00DF2400"/>
    <w:rsid w:val="00DF24E1"/>
    <w:rsid w:val="00DF2567"/>
    <w:rsid w:val="00DF29BD"/>
    <w:rsid w:val="00DF29F6"/>
    <w:rsid w:val="00DF2A7E"/>
    <w:rsid w:val="00DF2AEF"/>
    <w:rsid w:val="00DF2CC3"/>
    <w:rsid w:val="00DF3079"/>
    <w:rsid w:val="00DF3481"/>
    <w:rsid w:val="00DF37E6"/>
    <w:rsid w:val="00DF3CFE"/>
    <w:rsid w:val="00DF3F11"/>
    <w:rsid w:val="00DF3FDF"/>
    <w:rsid w:val="00DF4086"/>
    <w:rsid w:val="00DF40D0"/>
    <w:rsid w:val="00DF410D"/>
    <w:rsid w:val="00DF41AB"/>
    <w:rsid w:val="00DF4555"/>
    <w:rsid w:val="00DF4648"/>
    <w:rsid w:val="00DF5269"/>
    <w:rsid w:val="00DF54E0"/>
    <w:rsid w:val="00DF5644"/>
    <w:rsid w:val="00DF59DF"/>
    <w:rsid w:val="00DF5A72"/>
    <w:rsid w:val="00DF5FB9"/>
    <w:rsid w:val="00DF63B5"/>
    <w:rsid w:val="00DF667E"/>
    <w:rsid w:val="00DF6F48"/>
    <w:rsid w:val="00DF6FEF"/>
    <w:rsid w:val="00DF7379"/>
    <w:rsid w:val="00DF73C2"/>
    <w:rsid w:val="00DF743E"/>
    <w:rsid w:val="00DF75F5"/>
    <w:rsid w:val="00DF7A2A"/>
    <w:rsid w:val="00E00054"/>
    <w:rsid w:val="00E0009E"/>
    <w:rsid w:val="00E003A9"/>
    <w:rsid w:val="00E008F5"/>
    <w:rsid w:val="00E00C00"/>
    <w:rsid w:val="00E00E72"/>
    <w:rsid w:val="00E00F21"/>
    <w:rsid w:val="00E01DC0"/>
    <w:rsid w:val="00E023EC"/>
    <w:rsid w:val="00E0254B"/>
    <w:rsid w:val="00E02690"/>
    <w:rsid w:val="00E026C2"/>
    <w:rsid w:val="00E02EDE"/>
    <w:rsid w:val="00E03044"/>
    <w:rsid w:val="00E0320A"/>
    <w:rsid w:val="00E03BD4"/>
    <w:rsid w:val="00E03F09"/>
    <w:rsid w:val="00E04066"/>
    <w:rsid w:val="00E043B3"/>
    <w:rsid w:val="00E0442D"/>
    <w:rsid w:val="00E044E2"/>
    <w:rsid w:val="00E04663"/>
    <w:rsid w:val="00E04755"/>
    <w:rsid w:val="00E04BF3"/>
    <w:rsid w:val="00E04D27"/>
    <w:rsid w:val="00E04EAB"/>
    <w:rsid w:val="00E04FA5"/>
    <w:rsid w:val="00E0534F"/>
    <w:rsid w:val="00E05413"/>
    <w:rsid w:val="00E0556D"/>
    <w:rsid w:val="00E0591A"/>
    <w:rsid w:val="00E0593F"/>
    <w:rsid w:val="00E06594"/>
    <w:rsid w:val="00E0694F"/>
    <w:rsid w:val="00E076A2"/>
    <w:rsid w:val="00E07B13"/>
    <w:rsid w:val="00E07E5C"/>
    <w:rsid w:val="00E07EFC"/>
    <w:rsid w:val="00E1004C"/>
    <w:rsid w:val="00E1007F"/>
    <w:rsid w:val="00E10256"/>
    <w:rsid w:val="00E10376"/>
    <w:rsid w:val="00E108B7"/>
    <w:rsid w:val="00E1097F"/>
    <w:rsid w:val="00E11A9A"/>
    <w:rsid w:val="00E11B6C"/>
    <w:rsid w:val="00E11DC2"/>
    <w:rsid w:val="00E12EEC"/>
    <w:rsid w:val="00E1449C"/>
    <w:rsid w:val="00E145EC"/>
    <w:rsid w:val="00E14A83"/>
    <w:rsid w:val="00E14B08"/>
    <w:rsid w:val="00E14E48"/>
    <w:rsid w:val="00E15074"/>
    <w:rsid w:val="00E15203"/>
    <w:rsid w:val="00E15837"/>
    <w:rsid w:val="00E160FB"/>
    <w:rsid w:val="00E1694C"/>
    <w:rsid w:val="00E16EED"/>
    <w:rsid w:val="00E17015"/>
    <w:rsid w:val="00E1707B"/>
    <w:rsid w:val="00E17576"/>
    <w:rsid w:val="00E17618"/>
    <w:rsid w:val="00E17BCA"/>
    <w:rsid w:val="00E203DA"/>
    <w:rsid w:val="00E20917"/>
    <w:rsid w:val="00E209B3"/>
    <w:rsid w:val="00E20A33"/>
    <w:rsid w:val="00E2148C"/>
    <w:rsid w:val="00E2160C"/>
    <w:rsid w:val="00E219CC"/>
    <w:rsid w:val="00E22C51"/>
    <w:rsid w:val="00E22E97"/>
    <w:rsid w:val="00E2353B"/>
    <w:rsid w:val="00E236A0"/>
    <w:rsid w:val="00E236DE"/>
    <w:rsid w:val="00E2386E"/>
    <w:rsid w:val="00E23C2D"/>
    <w:rsid w:val="00E23D2A"/>
    <w:rsid w:val="00E23DB5"/>
    <w:rsid w:val="00E24058"/>
    <w:rsid w:val="00E243C9"/>
    <w:rsid w:val="00E24830"/>
    <w:rsid w:val="00E24AB7"/>
    <w:rsid w:val="00E24C7D"/>
    <w:rsid w:val="00E24E4D"/>
    <w:rsid w:val="00E2515E"/>
    <w:rsid w:val="00E25908"/>
    <w:rsid w:val="00E25DF8"/>
    <w:rsid w:val="00E26519"/>
    <w:rsid w:val="00E26F6B"/>
    <w:rsid w:val="00E2714E"/>
    <w:rsid w:val="00E275CC"/>
    <w:rsid w:val="00E2797F"/>
    <w:rsid w:val="00E27D1E"/>
    <w:rsid w:val="00E27DAA"/>
    <w:rsid w:val="00E301E1"/>
    <w:rsid w:val="00E30434"/>
    <w:rsid w:val="00E3045C"/>
    <w:rsid w:val="00E306E5"/>
    <w:rsid w:val="00E30A40"/>
    <w:rsid w:val="00E30E45"/>
    <w:rsid w:val="00E311C2"/>
    <w:rsid w:val="00E312A3"/>
    <w:rsid w:val="00E3135E"/>
    <w:rsid w:val="00E31F35"/>
    <w:rsid w:val="00E31FD9"/>
    <w:rsid w:val="00E32406"/>
    <w:rsid w:val="00E32643"/>
    <w:rsid w:val="00E32E00"/>
    <w:rsid w:val="00E33264"/>
    <w:rsid w:val="00E332F0"/>
    <w:rsid w:val="00E33519"/>
    <w:rsid w:val="00E33D20"/>
    <w:rsid w:val="00E33DAA"/>
    <w:rsid w:val="00E33DBB"/>
    <w:rsid w:val="00E3432F"/>
    <w:rsid w:val="00E3439D"/>
    <w:rsid w:val="00E34533"/>
    <w:rsid w:val="00E348E9"/>
    <w:rsid w:val="00E34DED"/>
    <w:rsid w:val="00E34F5D"/>
    <w:rsid w:val="00E3508F"/>
    <w:rsid w:val="00E35139"/>
    <w:rsid w:val="00E35207"/>
    <w:rsid w:val="00E352EF"/>
    <w:rsid w:val="00E35461"/>
    <w:rsid w:val="00E358DB"/>
    <w:rsid w:val="00E35F5A"/>
    <w:rsid w:val="00E3602A"/>
    <w:rsid w:val="00E36332"/>
    <w:rsid w:val="00E36B64"/>
    <w:rsid w:val="00E37052"/>
    <w:rsid w:val="00E370C2"/>
    <w:rsid w:val="00E37221"/>
    <w:rsid w:val="00E3751A"/>
    <w:rsid w:val="00E37A2F"/>
    <w:rsid w:val="00E37E4F"/>
    <w:rsid w:val="00E40179"/>
    <w:rsid w:val="00E40456"/>
    <w:rsid w:val="00E4049B"/>
    <w:rsid w:val="00E4090D"/>
    <w:rsid w:val="00E4098A"/>
    <w:rsid w:val="00E40A45"/>
    <w:rsid w:val="00E40EC3"/>
    <w:rsid w:val="00E41179"/>
    <w:rsid w:val="00E419A2"/>
    <w:rsid w:val="00E4222A"/>
    <w:rsid w:val="00E42695"/>
    <w:rsid w:val="00E426B6"/>
    <w:rsid w:val="00E42916"/>
    <w:rsid w:val="00E42CA3"/>
    <w:rsid w:val="00E42DE5"/>
    <w:rsid w:val="00E42E5A"/>
    <w:rsid w:val="00E42ED9"/>
    <w:rsid w:val="00E4306E"/>
    <w:rsid w:val="00E435A4"/>
    <w:rsid w:val="00E43C56"/>
    <w:rsid w:val="00E443A9"/>
    <w:rsid w:val="00E44C86"/>
    <w:rsid w:val="00E44C9F"/>
    <w:rsid w:val="00E44F88"/>
    <w:rsid w:val="00E44FCE"/>
    <w:rsid w:val="00E45116"/>
    <w:rsid w:val="00E45817"/>
    <w:rsid w:val="00E46B1A"/>
    <w:rsid w:val="00E47151"/>
    <w:rsid w:val="00E47168"/>
    <w:rsid w:val="00E47700"/>
    <w:rsid w:val="00E50578"/>
    <w:rsid w:val="00E506A0"/>
    <w:rsid w:val="00E50743"/>
    <w:rsid w:val="00E50FE1"/>
    <w:rsid w:val="00E51277"/>
    <w:rsid w:val="00E51788"/>
    <w:rsid w:val="00E51F64"/>
    <w:rsid w:val="00E5233A"/>
    <w:rsid w:val="00E5286B"/>
    <w:rsid w:val="00E52E88"/>
    <w:rsid w:val="00E53228"/>
    <w:rsid w:val="00E53379"/>
    <w:rsid w:val="00E536CE"/>
    <w:rsid w:val="00E536EB"/>
    <w:rsid w:val="00E537F6"/>
    <w:rsid w:val="00E53C1D"/>
    <w:rsid w:val="00E53E03"/>
    <w:rsid w:val="00E54B0A"/>
    <w:rsid w:val="00E54BC1"/>
    <w:rsid w:val="00E54E2B"/>
    <w:rsid w:val="00E54EAD"/>
    <w:rsid w:val="00E54F01"/>
    <w:rsid w:val="00E55779"/>
    <w:rsid w:val="00E55E43"/>
    <w:rsid w:val="00E55EA1"/>
    <w:rsid w:val="00E56005"/>
    <w:rsid w:val="00E5607F"/>
    <w:rsid w:val="00E56447"/>
    <w:rsid w:val="00E56465"/>
    <w:rsid w:val="00E567B9"/>
    <w:rsid w:val="00E568D9"/>
    <w:rsid w:val="00E56B24"/>
    <w:rsid w:val="00E56B95"/>
    <w:rsid w:val="00E56EDB"/>
    <w:rsid w:val="00E56F7D"/>
    <w:rsid w:val="00E57076"/>
    <w:rsid w:val="00E57146"/>
    <w:rsid w:val="00E57841"/>
    <w:rsid w:val="00E5794D"/>
    <w:rsid w:val="00E57DDE"/>
    <w:rsid w:val="00E57EF2"/>
    <w:rsid w:val="00E600B1"/>
    <w:rsid w:val="00E6054C"/>
    <w:rsid w:val="00E607E0"/>
    <w:rsid w:val="00E60829"/>
    <w:rsid w:val="00E61A8D"/>
    <w:rsid w:val="00E61AFF"/>
    <w:rsid w:val="00E62314"/>
    <w:rsid w:val="00E623CC"/>
    <w:rsid w:val="00E6327B"/>
    <w:rsid w:val="00E63482"/>
    <w:rsid w:val="00E63A2F"/>
    <w:rsid w:val="00E63A9C"/>
    <w:rsid w:val="00E63FE9"/>
    <w:rsid w:val="00E646A2"/>
    <w:rsid w:val="00E64870"/>
    <w:rsid w:val="00E64EBC"/>
    <w:rsid w:val="00E65165"/>
    <w:rsid w:val="00E651DA"/>
    <w:rsid w:val="00E651F5"/>
    <w:rsid w:val="00E6557C"/>
    <w:rsid w:val="00E6576E"/>
    <w:rsid w:val="00E65BF8"/>
    <w:rsid w:val="00E663F4"/>
    <w:rsid w:val="00E66776"/>
    <w:rsid w:val="00E6682B"/>
    <w:rsid w:val="00E6683C"/>
    <w:rsid w:val="00E66886"/>
    <w:rsid w:val="00E66A4E"/>
    <w:rsid w:val="00E66BBB"/>
    <w:rsid w:val="00E67067"/>
    <w:rsid w:val="00E67397"/>
    <w:rsid w:val="00E67AAA"/>
    <w:rsid w:val="00E67BB5"/>
    <w:rsid w:val="00E67C9D"/>
    <w:rsid w:val="00E67DF7"/>
    <w:rsid w:val="00E67E78"/>
    <w:rsid w:val="00E70023"/>
    <w:rsid w:val="00E70308"/>
    <w:rsid w:val="00E70A5D"/>
    <w:rsid w:val="00E70AF3"/>
    <w:rsid w:val="00E71061"/>
    <w:rsid w:val="00E71290"/>
    <w:rsid w:val="00E71440"/>
    <w:rsid w:val="00E71A4A"/>
    <w:rsid w:val="00E71B52"/>
    <w:rsid w:val="00E71CBE"/>
    <w:rsid w:val="00E72189"/>
    <w:rsid w:val="00E72240"/>
    <w:rsid w:val="00E722B0"/>
    <w:rsid w:val="00E7236D"/>
    <w:rsid w:val="00E724DB"/>
    <w:rsid w:val="00E727D7"/>
    <w:rsid w:val="00E72844"/>
    <w:rsid w:val="00E72D1C"/>
    <w:rsid w:val="00E734D0"/>
    <w:rsid w:val="00E73E39"/>
    <w:rsid w:val="00E743D3"/>
    <w:rsid w:val="00E744B0"/>
    <w:rsid w:val="00E74739"/>
    <w:rsid w:val="00E74919"/>
    <w:rsid w:val="00E74F54"/>
    <w:rsid w:val="00E75272"/>
    <w:rsid w:val="00E75595"/>
    <w:rsid w:val="00E75A96"/>
    <w:rsid w:val="00E75AA6"/>
    <w:rsid w:val="00E75FA4"/>
    <w:rsid w:val="00E765E9"/>
    <w:rsid w:val="00E7694F"/>
    <w:rsid w:val="00E76A82"/>
    <w:rsid w:val="00E76AEC"/>
    <w:rsid w:val="00E76EDE"/>
    <w:rsid w:val="00E77E80"/>
    <w:rsid w:val="00E80055"/>
    <w:rsid w:val="00E80228"/>
    <w:rsid w:val="00E80510"/>
    <w:rsid w:val="00E80725"/>
    <w:rsid w:val="00E80CDB"/>
    <w:rsid w:val="00E80D97"/>
    <w:rsid w:val="00E80EEE"/>
    <w:rsid w:val="00E81003"/>
    <w:rsid w:val="00E810B4"/>
    <w:rsid w:val="00E81498"/>
    <w:rsid w:val="00E81D53"/>
    <w:rsid w:val="00E82017"/>
    <w:rsid w:val="00E8232E"/>
    <w:rsid w:val="00E8263D"/>
    <w:rsid w:val="00E82A5E"/>
    <w:rsid w:val="00E82AAB"/>
    <w:rsid w:val="00E82C96"/>
    <w:rsid w:val="00E82FBE"/>
    <w:rsid w:val="00E83373"/>
    <w:rsid w:val="00E83669"/>
    <w:rsid w:val="00E83B82"/>
    <w:rsid w:val="00E84024"/>
    <w:rsid w:val="00E841F9"/>
    <w:rsid w:val="00E84D0B"/>
    <w:rsid w:val="00E84D70"/>
    <w:rsid w:val="00E84FD2"/>
    <w:rsid w:val="00E8500C"/>
    <w:rsid w:val="00E852C5"/>
    <w:rsid w:val="00E85331"/>
    <w:rsid w:val="00E85457"/>
    <w:rsid w:val="00E85BC3"/>
    <w:rsid w:val="00E85C21"/>
    <w:rsid w:val="00E86A1A"/>
    <w:rsid w:val="00E86F2D"/>
    <w:rsid w:val="00E876DE"/>
    <w:rsid w:val="00E879A6"/>
    <w:rsid w:val="00E87AE1"/>
    <w:rsid w:val="00E87BA9"/>
    <w:rsid w:val="00E87F17"/>
    <w:rsid w:val="00E901BD"/>
    <w:rsid w:val="00E90330"/>
    <w:rsid w:val="00E9096C"/>
    <w:rsid w:val="00E90C5C"/>
    <w:rsid w:val="00E90E93"/>
    <w:rsid w:val="00E90EB0"/>
    <w:rsid w:val="00E91449"/>
    <w:rsid w:val="00E915BC"/>
    <w:rsid w:val="00E916D1"/>
    <w:rsid w:val="00E91D4A"/>
    <w:rsid w:val="00E91F84"/>
    <w:rsid w:val="00E923CF"/>
    <w:rsid w:val="00E9291A"/>
    <w:rsid w:val="00E92AE0"/>
    <w:rsid w:val="00E9309B"/>
    <w:rsid w:val="00E9321D"/>
    <w:rsid w:val="00E932B1"/>
    <w:rsid w:val="00E939E0"/>
    <w:rsid w:val="00E93C3F"/>
    <w:rsid w:val="00E944A9"/>
    <w:rsid w:val="00E955FA"/>
    <w:rsid w:val="00E959D0"/>
    <w:rsid w:val="00E9619B"/>
    <w:rsid w:val="00E964CA"/>
    <w:rsid w:val="00E9652F"/>
    <w:rsid w:val="00E96938"/>
    <w:rsid w:val="00E969AA"/>
    <w:rsid w:val="00E972E9"/>
    <w:rsid w:val="00E97844"/>
    <w:rsid w:val="00E97B8D"/>
    <w:rsid w:val="00E97DDC"/>
    <w:rsid w:val="00E97E04"/>
    <w:rsid w:val="00E97EDE"/>
    <w:rsid w:val="00EA0016"/>
    <w:rsid w:val="00EA0421"/>
    <w:rsid w:val="00EA0B8F"/>
    <w:rsid w:val="00EA0E56"/>
    <w:rsid w:val="00EA1696"/>
    <w:rsid w:val="00EA1931"/>
    <w:rsid w:val="00EA1EB1"/>
    <w:rsid w:val="00EA1F6D"/>
    <w:rsid w:val="00EA1FDB"/>
    <w:rsid w:val="00EA1FF6"/>
    <w:rsid w:val="00EA265E"/>
    <w:rsid w:val="00EA26EE"/>
    <w:rsid w:val="00EA2D25"/>
    <w:rsid w:val="00EA2D2B"/>
    <w:rsid w:val="00EA2E24"/>
    <w:rsid w:val="00EA315E"/>
    <w:rsid w:val="00EA353A"/>
    <w:rsid w:val="00EA3572"/>
    <w:rsid w:val="00EA390A"/>
    <w:rsid w:val="00EA3CF4"/>
    <w:rsid w:val="00EA427E"/>
    <w:rsid w:val="00EA46CC"/>
    <w:rsid w:val="00EA5749"/>
    <w:rsid w:val="00EA61A8"/>
    <w:rsid w:val="00EA67B9"/>
    <w:rsid w:val="00EA67D2"/>
    <w:rsid w:val="00EA6D4B"/>
    <w:rsid w:val="00EA6DFE"/>
    <w:rsid w:val="00EA70B2"/>
    <w:rsid w:val="00EA732D"/>
    <w:rsid w:val="00EA7864"/>
    <w:rsid w:val="00EB0566"/>
    <w:rsid w:val="00EB058F"/>
    <w:rsid w:val="00EB080B"/>
    <w:rsid w:val="00EB096C"/>
    <w:rsid w:val="00EB0B63"/>
    <w:rsid w:val="00EB10FF"/>
    <w:rsid w:val="00EB11F4"/>
    <w:rsid w:val="00EB1D6A"/>
    <w:rsid w:val="00EB2059"/>
    <w:rsid w:val="00EB276E"/>
    <w:rsid w:val="00EB2A1F"/>
    <w:rsid w:val="00EB2D3A"/>
    <w:rsid w:val="00EB2DDE"/>
    <w:rsid w:val="00EB31BC"/>
    <w:rsid w:val="00EB3ED5"/>
    <w:rsid w:val="00EB42DC"/>
    <w:rsid w:val="00EB4F79"/>
    <w:rsid w:val="00EB567E"/>
    <w:rsid w:val="00EB59BB"/>
    <w:rsid w:val="00EB5C15"/>
    <w:rsid w:val="00EB6504"/>
    <w:rsid w:val="00EB703C"/>
    <w:rsid w:val="00EB7605"/>
    <w:rsid w:val="00EB7AEA"/>
    <w:rsid w:val="00EC0314"/>
    <w:rsid w:val="00EC05D8"/>
    <w:rsid w:val="00EC06A6"/>
    <w:rsid w:val="00EC0870"/>
    <w:rsid w:val="00EC11DE"/>
    <w:rsid w:val="00EC11E1"/>
    <w:rsid w:val="00EC15A1"/>
    <w:rsid w:val="00EC20AA"/>
    <w:rsid w:val="00EC231E"/>
    <w:rsid w:val="00EC24CC"/>
    <w:rsid w:val="00EC2515"/>
    <w:rsid w:val="00EC2996"/>
    <w:rsid w:val="00EC2B76"/>
    <w:rsid w:val="00EC2D90"/>
    <w:rsid w:val="00EC2E12"/>
    <w:rsid w:val="00EC2E80"/>
    <w:rsid w:val="00EC2EDC"/>
    <w:rsid w:val="00EC2F9C"/>
    <w:rsid w:val="00EC3620"/>
    <w:rsid w:val="00EC370A"/>
    <w:rsid w:val="00EC428A"/>
    <w:rsid w:val="00EC4763"/>
    <w:rsid w:val="00EC4A3A"/>
    <w:rsid w:val="00EC5392"/>
    <w:rsid w:val="00EC539B"/>
    <w:rsid w:val="00EC5673"/>
    <w:rsid w:val="00EC5688"/>
    <w:rsid w:val="00EC5A49"/>
    <w:rsid w:val="00EC6328"/>
    <w:rsid w:val="00EC637E"/>
    <w:rsid w:val="00EC6997"/>
    <w:rsid w:val="00EC6CB9"/>
    <w:rsid w:val="00EC779B"/>
    <w:rsid w:val="00ED0040"/>
    <w:rsid w:val="00ED0457"/>
    <w:rsid w:val="00ED0AD7"/>
    <w:rsid w:val="00ED0CA0"/>
    <w:rsid w:val="00ED119A"/>
    <w:rsid w:val="00ED13ED"/>
    <w:rsid w:val="00ED1783"/>
    <w:rsid w:val="00ED19F7"/>
    <w:rsid w:val="00ED1AF9"/>
    <w:rsid w:val="00ED1B5D"/>
    <w:rsid w:val="00ED2081"/>
    <w:rsid w:val="00ED22BF"/>
    <w:rsid w:val="00ED2435"/>
    <w:rsid w:val="00ED2681"/>
    <w:rsid w:val="00ED2E12"/>
    <w:rsid w:val="00ED3179"/>
    <w:rsid w:val="00ED4332"/>
    <w:rsid w:val="00ED4345"/>
    <w:rsid w:val="00ED455F"/>
    <w:rsid w:val="00ED45F4"/>
    <w:rsid w:val="00ED4685"/>
    <w:rsid w:val="00ED49AE"/>
    <w:rsid w:val="00ED4AA0"/>
    <w:rsid w:val="00ED4BD0"/>
    <w:rsid w:val="00ED4CA2"/>
    <w:rsid w:val="00ED52FA"/>
    <w:rsid w:val="00ED5414"/>
    <w:rsid w:val="00ED55D5"/>
    <w:rsid w:val="00ED637B"/>
    <w:rsid w:val="00ED65C2"/>
    <w:rsid w:val="00ED6774"/>
    <w:rsid w:val="00ED6B47"/>
    <w:rsid w:val="00ED6D9E"/>
    <w:rsid w:val="00ED717A"/>
    <w:rsid w:val="00ED7387"/>
    <w:rsid w:val="00ED7586"/>
    <w:rsid w:val="00ED7D85"/>
    <w:rsid w:val="00EE039A"/>
    <w:rsid w:val="00EE16B9"/>
    <w:rsid w:val="00EE1DFB"/>
    <w:rsid w:val="00EE1E58"/>
    <w:rsid w:val="00EE1E7E"/>
    <w:rsid w:val="00EE224C"/>
    <w:rsid w:val="00EE29D8"/>
    <w:rsid w:val="00EE2BA2"/>
    <w:rsid w:val="00EE2C66"/>
    <w:rsid w:val="00EE2D10"/>
    <w:rsid w:val="00EE2FFF"/>
    <w:rsid w:val="00EE3545"/>
    <w:rsid w:val="00EE3884"/>
    <w:rsid w:val="00EE38F0"/>
    <w:rsid w:val="00EE399F"/>
    <w:rsid w:val="00EE39AB"/>
    <w:rsid w:val="00EE4034"/>
    <w:rsid w:val="00EE43DF"/>
    <w:rsid w:val="00EE47C5"/>
    <w:rsid w:val="00EE47F7"/>
    <w:rsid w:val="00EE4903"/>
    <w:rsid w:val="00EE4AB6"/>
    <w:rsid w:val="00EE4AEA"/>
    <w:rsid w:val="00EE4F95"/>
    <w:rsid w:val="00EE50EB"/>
    <w:rsid w:val="00EE57F1"/>
    <w:rsid w:val="00EE5B5B"/>
    <w:rsid w:val="00EE5EF0"/>
    <w:rsid w:val="00EE61C0"/>
    <w:rsid w:val="00EE62F6"/>
    <w:rsid w:val="00EE63E0"/>
    <w:rsid w:val="00EE6ECF"/>
    <w:rsid w:val="00EE7543"/>
    <w:rsid w:val="00EE7A30"/>
    <w:rsid w:val="00EF007D"/>
    <w:rsid w:val="00EF031C"/>
    <w:rsid w:val="00EF0648"/>
    <w:rsid w:val="00EF06D7"/>
    <w:rsid w:val="00EF0935"/>
    <w:rsid w:val="00EF1A4F"/>
    <w:rsid w:val="00EF1DE0"/>
    <w:rsid w:val="00EF1DEA"/>
    <w:rsid w:val="00EF1FFA"/>
    <w:rsid w:val="00EF22E8"/>
    <w:rsid w:val="00EF2522"/>
    <w:rsid w:val="00EF2A0A"/>
    <w:rsid w:val="00EF2A2A"/>
    <w:rsid w:val="00EF2E62"/>
    <w:rsid w:val="00EF306D"/>
    <w:rsid w:val="00EF35FE"/>
    <w:rsid w:val="00EF3651"/>
    <w:rsid w:val="00EF3C61"/>
    <w:rsid w:val="00EF3E61"/>
    <w:rsid w:val="00EF3F26"/>
    <w:rsid w:val="00EF3F97"/>
    <w:rsid w:val="00EF40F8"/>
    <w:rsid w:val="00EF42DD"/>
    <w:rsid w:val="00EF47B6"/>
    <w:rsid w:val="00EF4BB4"/>
    <w:rsid w:val="00EF4C50"/>
    <w:rsid w:val="00EF5085"/>
    <w:rsid w:val="00EF59C8"/>
    <w:rsid w:val="00EF61A4"/>
    <w:rsid w:val="00EF668C"/>
    <w:rsid w:val="00EF76CE"/>
    <w:rsid w:val="00EF7703"/>
    <w:rsid w:val="00EF7CA5"/>
    <w:rsid w:val="00F00413"/>
    <w:rsid w:val="00F006CC"/>
    <w:rsid w:val="00F0085E"/>
    <w:rsid w:val="00F00A25"/>
    <w:rsid w:val="00F00ACD"/>
    <w:rsid w:val="00F00B25"/>
    <w:rsid w:val="00F00B3E"/>
    <w:rsid w:val="00F01AE8"/>
    <w:rsid w:val="00F01BA9"/>
    <w:rsid w:val="00F01ED3"/>
    <w:rsid w:val="00F02307"/>
    <w:rsid w:val="00F0237B"/>
    <w:rsid w:val="00F0293C"/>
    <w:rsid w:val="00F03015"/>
    <w:rsid w:val="00F03425"/>
    <w:rsid w:val="00F03923"/>
    <w:rsid w:val="00F03B53"/>
    <w:rsid w:val="00F03D96"/>
    <w:rsid w:val="00F04083"/>
    <w:rsid w:val="00F04DF0"/>
    <w:rsid w:val="00F0521B"/>
    <w:rsid w:val="00F056C1"/>
    <w:rsid w:val="00F06547"/>
    <w:rsid w:val="00F06B68"/>
    <w:rsid w:val="00F07003"/>
    <w:rsid w:val="00F07012"/>
    <w:rsid w:val="00F070F2"/>
    <w:rsid w:val="00F074ED"/>
    <w:rsid w:val="00F07556"/>
    <w:rsid w:val="00F07813"/>
    <w:rsid w:val="00F079B1"/>
    <w:rsid w:val="00F07A8D"/>
    <w:rsid w:val="00F07A8F"/>
    <w:rsid w:val="00F07C88"/>
    <w:rsid w:val="00F07D58"/>
    <w:rsid w:val="00F07E4E"/>
    <w:rsid w:val="00F114BC"/>
    <w:rsid w:val="00F11761"/>
    <w:rsid w:val="00F11932"/>
    <w:rsid w:val="00F11977"/>
    <w:rsid w:val="00F11B02"/>
    <w:rsid w:val="00F11C4A"/>
    <w:rsid w:val="00F11DE2"/>
    <w:rsid w:val="00F124C0"/>
    <w:rsid w:val="00F1283E"/>
    <w:rsid w:val="00F1292A"/>
    <w:rsid w:val="00F12C1E"/>
    <w:rsid w:val="00F134B9"/>
    <w:rsid w:val="00F13664"/>
    <w:rsid w:val="00F1421B"/>
    <w:rsid w:val="00F14422"/>
    <w:rsid w:val="00F14972"/>
    <w:rsid w:val="00F150F2"/>
    <w:rsid w:val="00F1541D"/>
    <w:rsid w:val="00F156FD"/>
    <w:rsid w:val="00F15975"/>
    <w:rsid w:val="00F16091"/>
    <w:rsid w:val="00F1620D"/>
    <w:rsid w:val="00F165F7"/>
    <w:rsid w:val="00F16758"/>
    <w:rsid w:val="00F169D1"/>
    <w:rsid w:val="00F16C8E"/>
    <w:rsid w:val="00F17062"/>
    <w:rsid w:val="00F17174"/>
    <w:rsid w:val="00F1720D"/>
    <w:rsid w:val="00F17255"/>
    <w:rsid w:val="00F17837"/>
    <w:rsid w:val="00F17F89"/>
    <w:rsid w:val="00F2007F"/>
    <w:rsid w:val="00F201A9"/>
    <w:rsid w:val="00F2024F"/>
    <w:rsid w:val="00F203B4"/>
    <w:rsid w:val="00F20788"/>
    <w:rsid w:val="00F20EA2"/>
    <w:rsid w:val="00F20F62"/>
    <w:rsid w:val="00F2105D"/>
    <w:rsid w:val="00F210ED"/>
    <w:rsid w:val="00F214F0"/>
    <w:rsid w:val="00F21B72"/>
    <w:rsid w:val="00F21E5A"/>
    <w:rsid w:val="00F222D0"/>
    <w:rsid w:val="00F22566"/>
    <w:rsid w:val="00F22701"/>
    <w:rsid w:val="00F22820"/>
    <w:rsid w:val="00F22950"/>
    <w:rsid w:val="00F2320D"/>
    <w:rsid w:val="00F2379E"/>
    <w:rsid w:val="00F237B0"/>
    <w:rsid w:val="00F2391A"/>
    <w:rsid w:val="00F23C41"/>
    <w:rsid w:val="00F23CCA"/>
    <w:rsid w:val="00F23D55"/>
    <w:rsid w:val="00F24202"/>
    <w:rsid w:val="00F247BF"/>
    <w:rsid w:val="00F24FE9"/>
    <w:rsid w:val="00F25605"/>
    <w:rsid w:val="00F25895"/>
    <w:rsid w:val="00F2634B"/>
    <w:rsid w:val="00F2649F"/>
    <w:rsid w:val="00F26557"/>
    <w:rsid w:val="00F266B2"/>
    <w:rsid w:val="00F27235"/>
    <w:rsid w:val="00F273B2"/>
    <w:rsid w:val="00F27950"/>
    <w:rsid w:val="00F27A98"/>
    <w:rsid w:val="00F27EC4"/>
    <w:rsid w:val="00F305F5"/>
    <w:rsid w:val="00F30B6E"/>
    <w:rsid w:val="00F30F30"/>
    <w:rsid w:val="00F31282"/>
    <w:rsid w:val="00F3145A"/>
    <w:rsid w:val="00F315C5"/>
    <w:rsid w:val="00F31BE4"/>
    <w:rsid w:val="00F31E4B"/>
    <w:rsid w:val="00F31F11"/>
    <w:rsid w:val="00F31F3F"/>
    <w:rsid w:val="00F32161"/>
    <w:rsid w:val="00F321EE"/>
    <w:rsid w:val="00F32437"/>
    <w:rsid w:val="00F32517"/>
    <w:rsid w:val="00F32E6A"/>
    <w:rsid w:val="00F32FB9"/>
    <w:rsid w:val="00F32FD7"/>
    <w:rsid w:val="00F3300E"/>
    <w:rsid w:val="00F3393F"/>
    <w:rsid w:val="00F33A5C"/>
    <w:rsid w:val="00F33D03"/>
    <w:rsid w:val="00F346E5"/>
    <w:rsid w:val="00F34942"/>
    <w:rsid w:val="00F34966"/>
    <w:rsid w:val="00F34D5D"/>
    <w:rsid w:val="00F34FA8"/>
    <w:rsid w:val="00F35054"/>
    <w:rsid w:val="00F357E3"/>
    <w:rsid w:val="00F35874"/>
    <w:rsid w:val="00F35BD9"/>
    <w:rsid w:val="00F35D61"/>
    <w:rsid w:val="00F35E5F"/>
    <w:rsid w:val="00F3624B"/>
    <w:rsid w:val="00F3650B"/>
    <w:rsid w:val="00F36FFF"/>
    <w:rsid w:val="00F371FB"/>
    <w:rsid w:val="00F3767E"/>
    <w:rsid w:val="00F37B8C"/>
    <w:rsid w:val="00F37DF2"/>
    <w:rsid w:val="00F37FE2"/>
    <w:rsid w:val="00F40068"/>
    <w:rsid w:val="00F40A32"/>
    <w:rsid w:val="00F40D0C"/>
    <w:rsid w:val="00F40DEA"/>
    <w:rsid w:val="00F40E1A"/>
    <w:rsid w:val="00F415B0"/>
    <w:rsid w:val="00F415CB"/>
    <w:rsid w:val="00F419D8"/>
    <w:rsid w:val="00F41AE6"/>
    <w:rsid w:val="00F41E16"/>
    <w:rsid w:val="00F42312"/>
    <w:rsid w:val="00F429C1"/>
    <w:rsid w:val="00F435B8"/>
    <w:rsid w:val="00F43702"/>
    <w:rsid w:val="00F43BDC"/>
    <w:rsid w:val="00F43E20"/>
    <w:rsid w:val="00F43F15"/>
    <w:rsid w:val="00F43F8C"/>
    <w:rsid w:val="00F43F95"/>
    <w:rsid w:val="00F449B1"/>
    <w:rsid w:val="00F44B12"/>
    <w:rsid w:val="00F44DE8"/>
    <w:rsid w:val="00F45114"/>
    <w:rsid w:val="00F451A8"/>
    <w:rsid w:val="00F45288"/>
    <w:rsid w:val="00F456E5"/>
    <w:rsid w:val="00F45B6D"/>
    <w:rsid w:val="00F46104"/>
    <w:rsid w:val="00F4634B"/>
    <w:rsid w:val="00F463A8"/>
    <w:rsid w:val="00F46477"/>
    <w:rsid w:val="00F4658F"/>
    <w:rsid w:val="00F46A54"/>
    <w:rsid w:val="00F46A62"/>
    <w:rsid w:val="00F46B41"/>
    <w:rsid w:val="00F46B99"/>
    <w:rsid w:val="00F4701E"/>
    <w:rsid w:val="00F47C2E"/>
    <w:rsid w:val="00F501EA"/>
    <w:rsid w:val="00F50574"/>
    <w:rsid w:val="00F50A82"/>
    <w:rsid w:val="00F50DD7"/>
    <w:rsid w:val="00F510A3"/>
    <w:rsid w:val="00F51395"/>
    <w:rsid w:val="00F51534"/>
    <w:rsid w:val="00F51791"/>
    <w:rsid w:val="00F518F4"/>
    <w:rsid w:val="00F51D2B"/>
    <w:rsid w:val="00F52171"/>
    <w:rsid w:val="00F52531"/>
    <w:rsid w:val="00F525F0"/>
    <w:rsid w:val="00F52865"/>
    <w:rsid w:val="00F53689"/>
    <w:rsid w:val="00F53BE7"/>
    <w:rsid w:val="00F53DED"/>
    <w:rsid w:val="00F5426A"/>
    <w:rsid w:val="00F548E6"/>
    <w:rsid w:val="00F54D95"/>
    <w:rsid w:val="00F54E5C"/>
    <w:rsid w:val="00F55086"/>
    <w:rsid w:val="00F550A1"/>
    <w:rsid w:val="00F557AE"/>
    <w:rsid w:val="00F558E0"/>
    <w:rsid w:val="00F55954"/>
    <w:rsid w:val="00F55EE6"/>
    <w:rsid w:val="00F55F18"/>
    <w:rsid w:val="00F55F49"/>
    <w:rsid w:val="00F5640A"/>
    <w:rsid w:val="00F56A51"/>
    <w:rsid w:val="00F56A8D"/>
    <w:rsid w:val="00F572D7"/>
    <w:rsid w:val="00F575E2"/>
    <w:rsid w:val="00F57E05"/>
    <w:rsid w:val="00F60244"/>
    <w:rsid w:val="00F61388"/>
    <w:rsid w:val="00F619E6"/>
    <w:rsid w:val="00F61C66"/>
    <w:rsid w:val="00F61D09"/>
    <w:rsid w:val="00F61FA1"/>
    <w:rsid w:val="00F61FEE"/>
    <w:rsid w:val="00F62033"/>
    <w:rsid w:val="00F622EA"/>
    <w:rsid w:val="00F6249E"/>
    <w:rsid w:val="00F62831"/>
    <w:rsid w:val="00F629B2"/>
    <w:rsid w:val="00F62FA3"/>
    <w:rsid w:val="00F6310F"/>
    <w:rsid w:val="00F63DBC"/>
    <w:rsid w:val="00F6401B"/>
    <w:rsid w:val="00F6477D"/>
    <w:rsid w:val="00F64B78"/>
    <w:rsid w:val="00F659E9"/>
    <w:rsid w:val="00F65DBE"/>
    <w:rsid w:val="00F65F5B"/>
    <w:rsid w:val="00F66088"/>
    <w:rsid w:val="00F66177"/>
    <w:rsid w:val="00F6637A"/>
    <w:rsid w:val="00F6688D"/>
    <w:rsid w:val="00F668FB"/>
    <w:rsid w:val="00F66BCA"/>
    <w:rsid w:val="00F66E19"/>
    <w:rsid w:val="00F67CBA"/>
    <w:rsid w:val="00F67E2B"/>
    <w:rsid w:val="00F67F3D"/>
    <w:rsid w:val="00F67F9B"/>
    <w:rsid w:val="00F705AD"/>
    <w:rsid w:val="00F710FD"/>
    <w:rsid w:val="00F71523"/>
    <w:rsid w:val="00F71542"/>
    <w:rsid w:val="00F71A28"/>
    <w:rsid w:val="00F723B1"/>
    <w:rsid w:val="00F72851"/>
    <w:rsid w:val="00F7285C"/>
    <w:rsid w:val="00F728D2"/>
    <w:rsid w:val="00F72F34"/>
    <w:rsid w:val="00F72F4A"/>
    <w:rsid w:val="00F7332F"/>
    <w:rsid w:val="00F7357E"/>
    <w:rsid w:val="00F736D4"/>
    <w:rsid w:val="00F738C2"/>
    <w:rsid w:val="00F73BBF"/>
    <w:rsid w:val="00F73C86"/>
    <w:rsid w:val="00F74218"/>
    <w:rsid w:val="00F7442B"/>
    <w:rsid w:val="00F7465F"/>
    <w:rsid w:val="00F74E60"/>
    <w:rsid w:val="00F74F80"/>
    <w:rsid w:val="00F75011"/>
    <w:rsid w:val="00F7524A"/>
    <w:rsid w:val="00F752E4"/>
    <w:rsid w:val="00F75392"/>
    <w:rsid w:val="00F75D3D"/>
    <w:rsid w:val="00F75F7F"/>
    <w:rsid w:val="00F769A4"/>
    <w:rsid w:val="00F771B6"/>
    <w:rsid w:val="00F77910"/>
    <w:rsid w:val="00F77D6F"/>
    <w:rsid w:val="00F8019A"/>
    <w:rsid w:val="00F80570"/>
    <w:rsid w:val="00F80731"/>
    <w:rsid w:val="00F80DBB"/>
    <w:rsid w:val="00F813B8"/>
    <w:rsid w:val="00F81454"/>
    <w:rsid w:val="00F81865"/>
    <w:rsid w:val="00F81B5C"/>
    <w:rsid w:val="00F81F0A"/>
    <w:rsid w:val="00F82190"/>
    <w:rsid w:val="00F821BE"/>
    <w:rsid w:val="00F8233A"/>
    <w:rsid w:val="00F8248D"/>
    <w:rsid w:val="00F82625"/>
    <w:rsid w:val="00F826BC"/>
    <w:rsid w:val="00F82951"/>
    <w:rsid w:val="00F82F5B"/>
    <w:rsid w:val="00F82F6A"/>
    <w:rsid w:val="00F83740"/>
    <w:rsid w:val="00F837A6"/>
    <w:rsid w:val="00F83AA5"/>
    <w:rsid w:val="00F83B39"/>
    <w:rsid w:val="00F83B63"/>
    <w:rsid w:val="00F83DD4"/>
    <w:rsid w:val="00F848C1"/>
    <w:rsid w:val="00F85936"/>
    <w:rsid w:val="00F85E07"/>
    <w:rsid w:val="00F8668C"/>
    <w:rsid w:val="00F869AF"/>
    <w:rsid w:val="00F86A9C"/>
    <w:rsid w:val="00F87363"/>
    <w:rsid w:val="00F87DA0"/>
    <w:rsid w:val="00F9007D"/>
    <w:rsid w:val="00F902C8"/>
    <w:rsid w:val="00F90810"/>
    <w:rsid w:val="00F9096D"/>
    <w:rsid w:val="00F90C0C"/>
    <w:rsid w:val="00F9114E"/>
    <w:rsid w:val="00F912DF"/>
    <w:rsid w:val="00F91380"/>
    <w:rsid w:val="00F914D9"/>
    <w:rsid w:val="00F918AE"/>
    <w:rsid w:val="00F91A7B"/>
    <w:rsid w:val="00F91D26"/>
    <w:rsid w:val="00F91D8A"/>
    <w:rsid w:val="00F91E4D"/>
    <w:rsid w:val="00F91F9C"/>
    <w:rsid w:val="00F91FFB"/>
    <w:rsid w:val="00F92057"/>
    <w:rsid w:val="00F92072"/>
    <w:rsid w:val="00F92EE1"/>
    <w:rsid w:val="00F930C9"/>
    <w:rsid w:val="00F93FDD"/>
    <w:rsid w:val="00F94A54"/>
    <w:rsid w:val="00F94B15"/>
    <w:rsid w:val="00F94DC2"/>
    <w:rsid w:val="00F94F4D"/>
    <w:rsid w:val="00F9582B"/>
    <w:rsid w:val="00F959F7"/>
    <w:rsid w:val="00F96527"/>
    <w:rsid w:val="00F96810"/>
    <w:rsid w:val="00F96897"/>
    <w:rsid w:val="00F9699A"/>
    <w:rsid w:val="00F96DF8"/>
    <w:rsid w:val="00F96E65"/>
    <w:rsid w:val="00F97350"/>
    <w:rsid w:val="00F9771C"/>
    <w:rsid w:val="00F97A33"/>
    <w:rsid w:val="00F97C58"/>
    <w:rsid w:val="00F97DA1"/>
    <w:rsid w:val="00F97F14"/>
    <w:rsid w:val="00FA023E"/>
    <w:rsid w:val="00FA08CC"/>
    <w:rsid w:val="00FA11B2"/>
    <w:rsid w:val="00FA153E"/>
    <w:rsid w:val="00FA156F"/>
    <w:rsid w:val="00FA1F55"/>
    <w:rsid w:val="00FA2036"/>
    <w:rsid w:val="00FA20A5"/>
    <w:rsid w:val="00FA2968"/>
    <w:rsid w:val="00FA2B63"/>
    <w:rsid w:val="00FA322E"/>
    <w:rsid w:val="00FA3B27"/>
    <w:rsid w:val="00FA450A"/>
    <w:rsid w:val="00FA45E7"/>
    <w:rsid w:val="00FA4775"/>
    <w:rsid w:val="00FA4B4A"/>
    <w:rsid w:val="00FA4E38"/>
    <w:rsid w:val="00FA5066"/>
    <w:rsid w:val="00FA57ED"/>
    <w:rsid w:val="00FA58AB"/>
    <w:rsid w:val="00FA5DED"/>
    <w:rsid w:val="00FA5EF8"/>
    <w:rsid w:val="00FA6024"/>
    <w:rsid w:val="00FA67D2"/>
    <w:rsid w:val="00FA69AC"/>
    <w:rsid w:val="00FA6AF5"/>
    <w:rsid w:val="00FA6C93"/>
    <w:rsid w:val="00FA6FCD"/>
    <w:rsid w:val="00FA7404"/>
    <w:rsid w:val="00FA7463"/>
    <w:rsid w:val="00FA7575"/>
    <w:rsid w:val="00FA7663"/>
    <w:rsid w:val="00FA7F16"/>
    <w:rsid w:val="00FA7FF1"/>
    <w:rsid w:val="00FB0325"/>
    <w:rsid w:val="00FB0625"/>
    <w:rsid w:val="00FB0877"/>
    <w:rsid w:val="00FB094A"/>
    <w:rsid w:val="00FB0DF2"/>
    <w:rsid w:val="00FB0EB8"/>
    <w:rsid w:val="00FB1A4A"/>
    <w:rsid w:val="00FB1D6D"/>
    <w:rsid w:val="00FB21C7"/>
    <w:rsid w:val="00FB2204"/>
    <w:rsid w:val="00FB22DA"/>
    <w:rsid w:val="00FB26B7"/>
    <w:rsid w:val="00FB288C"/>
    <w:rsid w:val="00FB2A32"/>
    <w:rsid w:val="00FB2E8B"/>
    <w:rsid w:val="00FB3053"/>
    <w:rsid w:val="00FB32C7"/>
    <w:rsid w:val="00FB33F6"/>
    <w:rsid w:val="00FB37DB"/>
    <w:rsid w:val="00FB3819"/>
    <w:rsid w:val="00FB38BC"/>
    <w:rsid w:val="00FB3AB0"/>
    <w:rsid w:val="00FB3C13"/>
    <w:rsid w:val="00FB3DD7"/>
    <w:rsid w:val="00FB401A"/>
    <w:rsid w:val="00FB41DF"/>
    <w:rsid w:val="00FB47B3"/>
    <w:rsid w:val="00FB51DD"/>
    <w:rsid w:val="00FB545C"/>
    <w:rsid w:val="00FB598A"/>
    <w:rsid w:val="00FB5C2A"/>
    <w:rsid w:val="00FB5CD0"/>
    <w:rsid w:val="00FB5CE5"/>
    <w:rsid w:val="00FB5EDC"/>
    <w:rsid w:val="00FB61D1"/>
    <w:rsid w:val="00FB62AA"/>
    <w:rsid w:val="00FB6C6F"/>
    <w:rsid w:val="00FB6E31"/>
    <w:rsid w:val="00FB6F61"/>
    <w:rsid w:val="00FB7252"/>
    <w:rsid w:val="00FB73FF"/>
    <w:rsid w:val="00FB7CFB"/>
    <w:rsid w:val="00FB7DD0"/>
    <w:rsid w:val="00FC00A1"/>
    <w:rsid w:val="00FC0262"/>
    <w:rsid w:val="00FC05FD"/>
    <w:rsid w:val="00FC0BD2"/>
    <w:rsid w:val="00FC12AA"/>
    <w:rsid w:val="00FC1334"/>
    <w:rsid w:val="00FC17D4"/>
    <w:rsid w:val="00FC1B8C"/>
    <w:rsid w:val="00FC1E89"/>
    <w:rsid w:val="00FC287E"/>
    <w:rsid w:val="00FC32D7"/>
    <w:rsid w:val="00FC350E"/>
    <w:rsid w:val="00FC38A3"/>
    <w:rsid w:val="00FC4258"/>
    <w:rsid w:val="00FC4588"/>
    <w:rsid w:val="00FC4A63"/>
    <w:rsid w:val="00FC4A86"/>
    <w:rsid w:val="00FC4B10"/>
    <w:rsid w:val="00FC4C62"/>
    <w:rsid w:val="00FC4C7B"/>
    <w:rsid w:val="00FC4F28"/>
    <w:rsid w:val="00FC4FB6"/>
    <w:rsid w:val="00FC51BB"/>
    <w:rsid w:val="00FC51F6"/>
    <w:rsid w:val="00FC52B4"/>
    <w:rsid w:val="00FC53D1"/>
    <w:rsid w:val="00FC5516"/>
    <w:rsid w:val="00FC579A"/>
    <w:rsid w:val="00FC57E1"/>
    <w:rsid w:val="00FC5881"/>
    <w:rsid w:val="00FC5B6A"/>
    <w:rsid w:val="00FC5F0D"/>
    <w:rsid w:val="00FC621A"/>
    <w:rsid w:val="00FC62E1"/>
    <w:rsid w:val="00FC66F4"/>
    <w:rsid w:val="00FC6C72"/>
    <w:rsid w:val="00FC6FCB"/>
    <w:rsid w:val="00FC78E9"/>
    <w:rsid w:val="00FC7998"/>
    <w:rsid w:val="00FC7DB6"/>
    <w:rsid w:val="00FC7ED3"/>
    <w:rsid w:val="00FC7FC9"/>
    <w:rsid w:val="00FC7FF8"/>
    <w:rsid w:val="00FD0036"/>
    <w:rsid w:val="00FD02F1"/>
    <w:rsid w:val="00FD03A0"/>
    <w:rsid w:val="00FD08EB"/>
    <w:rsid w:val="00FD0976"/>
    <w:rsid w:val="00FD0CA1"/>
    <w:rsid w:val="00FD0E99"/>
    <w:rsid w:val="00FD0F58"/>
    <w:rsid w:val="00FD1074"/>
    <w:rsid w:val="00FD1338"/>
    <w:rsid w:val="00FD1552"/>
    <w:rsid w:val="00FD15D3"/>
    <w:rsid w:val="00FD1B4A"/>
    <w:rsid w:val="00FD282B"/>
    <w:rsid w:val="00FD2977"/>
    <w:rsid w:val="00FD2BF6"/>
    <w:rsid w:val="00FD2D75"/>
    <w:rsid w:val="00FD2FD9"/>
    <w:rsid w:val="00FD3167"/>
    <w:rsid w:val="00FD36D3"/>
    <w:rsid w:val="00FD47B1"/>
    <w:rsid w:val="00FD4AEE"/>
    <w:rsid w:val="00FD5111"/>
    <w:rsid w:val="00FD55E8"/>
    <w:rsid w:val="00FD5A7F"/>
    <w:rsid w:val="00FD5CDC"/>
    <w:rsid w:val="00FD5E44"/>
    <w:rsid w:val="00FD639A"/>
    <w:rsid w:val="00FD6A88"/>
    <w:rsid w:val="00FD6AC3"/>
    <w:rsid w:val="00FD6E87"/>
    <w:rsid w:val="00FD6FFD"/>
    <w:rsid w:val="00FD7357"/>
    <w:rsid w:val="00FD74DE"/>
    <w:rsid w:val="00FD7772"/>
    <w:rsid w:val="00FD7CBB"/>
    <w:rsid w:val="00FE0467"/>
    <w:rsid w:val="00FE06A7"/>
    <w:rsid w:val="00FE0A56"/>
    <w:rsid w:val="00FE0D36"/>
    <w:rsid w:val="00FE11DC"/>
    <w:rsid w:val="00FE159D"/>
    <w:rsid w:val="00FE1854"/>
    <w:rsid w:val="00FE1C48"/>
    <w:rsid w:val="00FE1F3A"/>
    <w:rsid w:val="00FE20B7"/>
    <w:rsid w:val="00FE2187"/>
    <w:rsid w:val="00FE289D"/>
    <w:rsid w:val="00FE2B9E"/>
    <w:rsid w:val="00FE3001"/>
    <w:rsid w:val="00FE30E3"/>
    <w:rsid w:val="00FE32C6"/>
    <w:rsid w:val="00FE335C"/>
    <w:rsid w:val="00FE3632"/>
    <w:rsid w:val="00FE3ADA"/>
    <w:rsid w:val="00FE3AE7"/>
    <w:rsid w:val="00FE3C76"/>
    <w:rsid w:val="00FE3D85"/>
    <w:rsid w:val="00FE3E99"/>
    <w:rsid w:val="00FE4269"/>
    <w:rsid w:val="00FE4490"/>
    <w:rsid w:val="00FE4C24"/>
    <w:rsid w:val="00FE4C36"/>
    <w:rsid w:val="00FE57F7"/>
    <w:rsid w:val="00FE59C2"/>
    <w:rsid w:val="00FE5B19"/>
    <w:rsid w:val="00FE5B93"/>
    <w:rsid w:val="00FE5D82"/>
    <w:rsid w:val="00FE5E77"/>
    <w:rsid w:val="00FE6526"/>
    <w:rsid w:val="00FE69C8"/>
    <w:rsid w:val="00FE6A2D"/>
    <w:rsid w:val="00FE6C97"/>
    <w:rsid w:val="00FE6FA1"/>
    <w:rsid w:val="00FE746E"/>
    <w:rsid w:val="00FE789F"/>
    <w:rsid w:val="00FE7F76"/>
    <w:rsid w:val="00FF082D"/>
    <w:rsid w:val="00FF0857"/>
    <w:rsid w:val="00FF11C8"/>
    <w:rsid w:val="00FF155C"/>
    <w:rsid w:val="00FF1784"/>
    <w:rsid w:val="00FF17FD"/>
    <w:rsid w:val="00FF1911"/>
    <w:rsid w:val="00FF23EC"/>
    <w:rsid w:val="00FF2AD6"/>
    <w:rsid w:val="00FF2D98"/>
    <w:rsid w:val="00FF3105"/>
    <w:rsid w:val="00FF3470"/>
    <w:rsid w:val="00FF3795"/>
    <w:rsid w:val="00FF3AAF"/>
    <w:rsid w:val="00FF3EEE"/>
    <w:rsid w:val="00FF3F23"/>
    <w:rsid w:val="00FF47D7"/>
    <w:rsid w:val="00FF4AA6"/>
    <w:rsid w:val="00FF527B"/>
    <w:rsid w:val="00FF545E"/>
    <w:rsid w:val="00FF58CE"/>
    <w:rsid w:val="00FF5A59"/>
    <w:rsid w:val="00FF5E47"/>
    <w:rsid w:val="00FF5E86"/>
    <w:rsid w:val="00FF6006"/>
    <w:rsid w:val="00FF653B"/>
    <w:rsid w:val="00FF726F"/>
    <w:rsid w:val="00FF72D2"/>
    <w:rsid w:val="00FF74E0"/>
    <w:rsid w:val="00FF778A"/>
    <w:rsid w:val="00FF7833"/>
    <w:rsid w:val="00FF7B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C8F281D"/>
  <w14:defaultImageDpi w14:val="32767"/>
  <w15:chartTrackingRefBased/>
  <w15:docId w15:val="{90705256-A990-4E37-82C8-598C47BD3C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650D"/>
    <w:rPr>
      <w:rFonts w:ascii="Times New Roman" w:eastAsia="Times New Roman" w:hAnsi="Times New Roman" w:cs="Times New Roma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873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005E5"/>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C005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005E5"/>
    <w:rPr>
      <w:rFonts w:ascii="Segoe UI" w:eastAsia="Times New Roman" w:hAnsi="Segoe UI" w:cs="Segoe UI"/>
      <w:sz w:val="18"/>
      <w:szCs w:val="18"/>
    </w:rPr>
  </w:style>
  <w:style w:type="character" w:styleId="Hyperlink">
    <w:name w:val="Hyperlink"/>
    <w:basedOn w:val="DefaultParagraphFont"/>
    <w:uiPriority w:val="99"/>
    <w:unhideWhenUsed/>
    <w:rsid w:val="00063BFF"/>
    <w:rPr>
      <w:color w:val="0563C1" w:themeColor="hyperlink"/>
      <w:u w:val="single"/>
    </w:rPr>
  </w:style>
  <w:style w:type="paragraph" w:styleId="Header">
    <w:name w:val="header"/>
    <w:basedOn w:val="Normal"/>
    <w:link w:val="HeaderChar"/>
    <w:uiPriority w:val="99"/>
    <w:unhideWhenUsed/>
    <w:rsid w:val="000D5F6C"/>
    <w:pPr>
      <w:tabs>
        <w:tab w:val="center" w:pos="4680"/>
        <w:tab w:val="right" w:pos="9360"/>
      </w:tabs>
    </w:pPr>
  </w:style>
  <w:style w:type="character" w:customStyle="1" w:styleId="HeaderChar">
    <w:name w:val="Header Char"/>
    <w:basedOn w:val="DefaultParagraphFont"/>
    <w:link w:val="Header"/>
    <w:uiPriority w:val="99"/>
    <w:rsid w:val="000D5F6C"/>
    <w:rPr>
      <w:rFonts w:ascii="Times New Roman" w:eastAsia="Times New Roman" w:hAnsi="Times New Roman" w:cs="Times New Roman"/>
    </w:rPr>
  </w:style>
  <w:style w:type="paragraph" w:styleId="Footer">
    <w:name w:val="footer"/>
    <w:basedOn w:val="Normal"/>
    <w:link w:val="FooterChar"/>
    <w:uiPriority w:val="99"/>
    <w:unhideWhenUsed/>
    <w:rsid w:val="000D5F6C"/>
    <w:pPr>
      <w:tabs>
        <w:tab w:val="center" w:pos="4680"/>
        <w:tab w:val="right" w:pos="9360"/>
      </w:tabs>
    </w:pPr>
  </w:style>
  <w:style w:type="character" w:customStyle="1" w:styleId="FooterChar">
    <w:name w:val="Footer Char"/>
    <w:basedOn w:val="DefaultParagraphFont"/>
    <w:link w:val="Footer"/>
    <w:uiPriority w:val="99"/>
    <w:rsid w:val="000D5F6C"/>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7B0FA0"/>
    <w:rPr>
      <w:sz w:val="16"/>
      <w:szCs w:val="16"/>
    </w:rPr>
  </w:style>
  <w:style w:type="paragraph" w:styleId="CommentText">
    <w:name w:val="annotation text"/>
    <w:basedOn w:val="Normal"/>
    <w:link w:val="CommentTextChar"/>
    <w:uiPriority w:val="99"/>
    <w:unhideWhenUsed/>
    <w:rsid w:val="007B0FA0"/>
    <w:rPr>
      <w:sz w:val="20"/>
      <w:szCs w:val="20"/>
    </w:rPr>
  </w:style>
  <w:style w:type="character" w:customStyle="1" w:styleId="CommentTextChar">
    <w:name w:val="Comment Text Char"/>
    <w:basedOn w:val="DefaultParagraphFont"/>
    <w:link w:val="CommentText"/>
    <w:uiPriority w:val="99"/>
    <w:rsid w:val="007B0FA0"/>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9A3689"/>
    <w:rPr>
      <w:b/>
      <w:bCs/>
    </w:rPr>
  </w:style>
  <w:style w:type="character" w:customStyle="1" w:styleId="CommentSubjectChar">
    <w:name w:val="Comment Subject Char"/>
    <w:basedOn w:val="CommentTextChar"/>
    <w:link w:val="CommentSubject"/>
    <w:uiPriority w:val="99"/>
    <w:semiHidden/>
    <w:rsid w:val="009A3689"/>
    <w:rPr>
      <w:rFonts w:ascii="Times New Roman" w:eastAsia="Times New Roman" w:hAnsi="Times New Roman" w:cs="Times New Roman"/>
      <w:b/>
      <w:bCs/>
      <w:sz w:val="20"/>
      <w:szCs w:val="20"/>
    </w:rPr>
  </w:style>
  <w:style w:type="paragraph" w:styleId="ListParagraph">
    <w:name w:val="List Paragraph"/>
    <w:basedOn w:val="Normal"/>
    <w:uiPriority w:val="34"/>
    <w:qFormat/>
    <w:rsid w:val="00750C78"/>
    <w:pPr>
      <w:ind w:left="720"/>
      <w:contextualSpacing/>
    </w:pPr>
  </w:style>
  <w:style w:type="character" w:customStyle="1" w:styleId="UnresolvedMention1">
    <w:name w:val="Unresolved Mention1"/>
    <w:basedOn w:val="DefaultParagraphFont"/>
    <w:uiPriority w:val="99"/>
    <w:rsid w:val="00BA6845"/>
    <w:rPr>
      <w:color w:val="605E5C"/>
      <w:shd w:val="clear" w:color="auto" w:fill="E1DFDD"/>
    </w:rPr>
  </w:style>
  <w:style w:type="paragraph" w:styleId="NormalWeb">
    <w:name w:val="Normal (Web)"/>
    <w:basedOn w:val="Normal"/>
    <w:uiPriority w:val="99"/>
    <w:semiHidden/>
    <w:unhideWhenUsed/>
    <w:rsid w:val="00AD47F7"/>
    <w:pPr>
      <w:spacing w:before="100" w:beforeAutospacing="1" w:after="100" w:afterAutospacing="1"/>
    </w:pPr>
  </w:style>
  <w:style w:type="character" w:customStyle="1" w:styleId="UnresolvedMention2">
    <w:name w:val="Unresolved Mention2"/>
    <w:basedOn w:val="DefaultParagraphFont"/>
    <w:uiPriority w:val="99"/>
    <w:semiHidden/>
    <w:unhideWhenUsed/>
    <w:rsid w:val="00EC4A3A"/>
    <w:rPr>
      <w:color w:val="605E5C"/>
      <w:shd w:val="clear" w:color="auto" w:fill="E1DFDD"/>
    </w:rPr>
  </w:style>
  <w:style w:type="character" w:styleId="FollowedHyperlink">
    <w:name w:val="FollowedHyperlink"/>
    <w:basedOn w:val="DefaultParagraphFont"/>
    <w:uiPriority w:val="99"/>
    <w:semiHidden/>
    <w:unhideWhenUsed/>
    <w:rsid w:val="00EC4A3A"/>
    <w:rPr>
      <w:color w:val="954F72" w:themeColor="followedHyperlink"/>
      <w:u w:val="single"/>
    </w:rPr>
  </w:style>
  <w:style w:type="character" w:customStyle="1" w:styleId="UnresolvedMention3">
    <w:name w:val="Unresolved Mention3"/>
    <w:basedOn w:val="DefaultParagraphFont"/>
    <w:uiPriority w:val="99"/>
    <w:semiHidden/>
    <w:unhideWhenUsed/>
    <w:rsid w:val="008376EF"/>
    <w:rPr>
      <w:color w:val="605E5C"/>
      <w:shd w:val="clear" w:color="auto" w:fill="E1DFDD"/>
    </w:rPr>
  </w:style>
  <w:style w:type="character" w:styleId="Strong">
    <w:name w:val="Strong"/>
    <w:basedOn w:val="DefaultParagraphFont"/>
    <w:uiPriority w:val="22"/>
    <w:qFormat/>
    <w:rsid w:val="00A9678D"/>
    <w:rPr>
      <w:b/>
      <w:bCs/>
    </w:rPr>
  </w:style>
  <w:style w:type="character" w:styleId="UnresolvedMention">
    <w:name w:val="Unresolved Mention"/>
    <w:basedOn w:val="DefaultParagraphFont"/>
    <w:uiPriority w:val="99"/>
    <w:semiHidden/>
    <w:unhideWhenUsed/>
    <w:rsid w:val="00D36B4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34276">
      <w:bodyDiv w:val="1"/>
      <w:marLeft w:val="0"/>
      <w:marRight w:val="0"/>
      <w:marTop w:val="0"/>
      <w:marBottom w:val="0"/>
      <w:divBdr>
        <w:top w:val="none" w:sz="0" w:space="0" w:color="auto"/>
        <w:left w:val="none" w:sz="0" w:space="0" w:color="auto"/>
        <w:bottom w:val="none" w:sz="0" w:space="0" w:color="auto"/>
        <w:right w:val="none" w:sz="0" w:space="0" w:color="auto"/>
      </w:divBdr>
    </w:div>
    <w:div w:id="12919315">
      <w:bodyDiv w:val="1"/>
      <w:marLeft w:val="0"/>
      <w:marRight w:val="0"/>
      <w:marTop w:val="0"/>
      <w:marBottom w:val="0"/>
      <w:divBdr>
        <w:top w:val="none" w:sz="0" w:space="0" w:color="auto"/>
        <w:left w:val="none" w:sz="0" w:space="0" w:color="auto"/>
        <w:bottom w:val="none" w:sz="0" w:space="0" w:color="auto"/>
        <w:right w:val="none" w:sz="0" w:space="0" w:color="auto"/>
      </w:divBdr>
    </w:div>
    <w:div w:id="24986349">
      <w:bodyDiv w:val="1"/>
      <w:marLeft w:val="0"/>
      <w:marRight w:val="0"/>
      <w:marTop w:val="0"/>
      <w:marBottom w:val="0"/>
      <w:divBdr>
        <w:top w:val="none" w:sz="0" w:space="0" w:color="auto"/>
        <w:left w:val="none" w:sz="0" w:space="0" w:color="auto"/>
        <w:bottom w:val="none" w:sz="0" w:space="0" w:color="auto"/>
        <w:right w:val="none" w:sz="0" w:space="0" w:color="auto"/>
      </w:divBdr>
    </w:div>
    <w:div w:id="36509586">
      <w:bodyDiv w:val="1"/>
      <w:marLeft w:val="0"/>
      <w:marRight w:val="0"/>
      <w:marTop w:val="0"/>
      <w:marBottom w:val="0"/>
      <w:divBdr>
        <w:top w:val="none" w:sz="0" w:space="0" w:color="auto"/>
        <w:left w:val="none" w:sz="0" w:space="0" w:color="auto"/>
        <w:bottom w:val="none" w:sz="0" w:space="0" w:color="auto"/>
        <w:right w:val="none" w:sz="0" w:space="0" w:color="auto"/>
      </w:divBdr>
    </w:div>
    <w:div w:id="41712820">
      <w:bodyDiv w:val="1"/>
      <w:marLeft w:val="0"/>
      <w:marRight w:val="0"/>
      <w:marTop w:val="0"/>
      <w:marBottom w:val="0"/>
      <w:divBdr>
        <w:top w:val="none" w:sz="0" w:space="0" w:color="auto"/>
        <w:left w:val="none" w:sz="0" w:space="0" w:color="auto"/>
        <w:bottom w:val="none" w:sz="0" w:space="0" w:color="auto"/>
        <w:right w:val="none" w:sz="0" w:space="0" w:color="auto"/>
      </w:divBdr>
    </w:div>
    <w:div w:id="54091558">
      <w:bodyDiv w:val="1"/>
      <w:marLeft w:val="0"/>
      <w:marRight w:val="0"/>
      <w:marTop w:val="0"/>
      <w:marBottom w:val="0"/>
      <w:divBdr>
        <w:top w:val="none" w:sz="0" w:space="0" w:color="auto"/>
        <w:left w:val="none" w:sz="0" w:space="0" w:color="auto"/>
        <w:bottom w:val="none" w:sz="0" w:space="0" w:color="auto"/>
        <w:right w:val="none" w:sz="0" w:space="0" w:color="auto"/>
      </w:divBdr>
    </w:div>
    <w:div w:id="91249250">
      <w:bodyDiv w:val="1"/>
      <w:marLeft w:val="0"/>
      <w:marRight w:val="0"/>
      <w:marTop w:val="0"/>
      <w:marBottom w:val="0"/>
      <w:divBdr>
        <w:top w:val="none" w:sz="0" w:space="0" w:color="auto"/>
        <w:left w:val="none" w:sz="0" w:space="0" w:color="auto"/>
        <w:bottom w:val="none" w:sz="0" w:space="0" w:color="auto"/>
        <w:right w:val="none" w:sz="0" w:space="0" w:color="auto"/>
      </w:divBdr>
    </w:div>
    <w:div w:id="112211947">
      <w:bodyDiv w:val="1"/>
      <w:marLeft w:val="0"/>
      <w:marRight w:val="0"/>
      <w:marTop w:val="0"/>
      <w:marBottom w:val="0"/>
      <w:divBdr>
        <w:top w:val="none" w:sz="0" w:space="0" w:color="auto"/>
        <w:left w:val="none" w:sz="0" w:space="0" w:color="auto"/>
        <w:bottom w:val="none" w:sz="0" w:space="0" w:color="auto"/>
        <w:right w:val="none" w:sz="0" w:space="0" w:color="auto"/>
      </w:divBdr>
      <w:divsChild>
        <w:div w:id="1661232966">
          <w:marLeft w:val="274"/>
          <w:marRight w:val="0"/>
          <w:marTop w:val="150"/>
          <w:marBottom w:val="0"/>
          <w:divBdr>
            <w:top w:val="none" w:sz="0" w:space="0" w:color="auto"/>
            <w:left w:val="none" w:sz="0" w:space="0" w:color="auto"/>
            <w:bottom w:val="none" w:sz="0" w:space="0" w:color="auto"/>
            <w:right w:val="none" w:sz="0" w:space="0" w:color="auto"/>
          </w:divBdr>
        </w:div>
      </w:divsChild>
    </w:div>
    <w:div w:id="127823828">
      <w:bodyDiv w:val="1"/>
      <w:marLeft w:val="0"/>
      <w:marRight w:val="0"/>
      <w:marTop w:val="0"/>
      <w:marBottom w:val="0"/>
      <w:divBdr>
        <w:top w:val="none" w:sz="0" w:space="0" w:color="auto"/>
        <w:left w:val="none" w:sz="0" w:space="0" w:color="auto"/>
        <w:bottom w:val="none" w:sz="0" w:space="0" w:color="auto"/>
        <w:right w:val="none" w:sz="0" w:space="0" w:color="auto"/>
      </w:divBdr>
    </w:div>
    <w:div w:id="154075968">
      <w:bodyDiv w:val="1"/>
      <w:marLeft w:val="0"/>
      <w:marRight w:val="0"/>
      <w:marTop w:val="0"/>
      <w:marBottom w:val="0"/>
      <w:divBdr>
        <w:top w:val="none" w:sz="0" w:space="0" w:color="auto"/>
        <w:left w:val="none" w:sz="0" w:space="0" w:color="auto"/>
        <w:bottom w:val="none" w:sz="0" w:space="0" w:color="auto"/>
        <w:right w:val="none" w:sz="0" w:space="0" w:color="auto"/>
      </w:divBdr>
    </w:div>
    <w:div w:id="183861060">
      <w:bodyDiv w:val="1"/>
      <w:marLeft w:val="0"/>
      <w:marRight w:val="0"/>
      <w:marTop w:val="0"/>
      <w:marBottom w:val="0"/>
      <w:divBdr>
        <w:top w:val="none" w:sz="0" w:space="0" w:color="auto"/>
        <w:left w:val="none" w:sz="0" w:space="0" w:color="auto"/>
        <w:bottom w:val="none" w:sz="0" w:space="0" w:color="auto"/>
        <w:right w:val="none" w:sz="0" w:space="0" w:color="auto"/>
      </w:divBdr>
    </w:div>
    <w:div w:id="202600156">
      <w:bodyDiv w:val="1"/>
      <w:marLeft w:val="0"/>
      <w:marRight w:val="0"/>
      <w:marTop w:val="0"/>
      <w:marBottom w:val="0"/>
      <w:divBdr>
        <w:top w:val="none" w:sz="0" w:space="0" w:color="auto"/>
        <w:left w:val="none" w:sz="0" w:space="0" w:color="auto"/>
        <w:bottom w:val="none" w:sz="0" w:space="0" w:color="auto"/>
        <w:right w:val="none" w:sz="0" w:space="0" w:color="auto"/>
      </w:divBdr>
    </w:div>
    <w:div w:id="248084758">
      <w:bodyDiv w:val="1"/>
      <w:marLeft w:val="0"/>
      <w:marRight w:val="0"/>
      <w:marTop w:val="0"/>
      <w:marBottom w:val="0"/>
      <w:divBdr>
        <w:top w:val="none" w:sz="0" w:space="0" w:color="auto"/>
        <w:left w:val="none" w:sz="0" w:space="0" w:color="auto"/>
        <w:bottom w:val="none" w:sz="0" w:space="0" w:color="auto"/>
        <w:right w:val="none" w:sz="0" w:space="0" w:color="auto"/>
      </w:divBdr>
    </w:div>
    <w:div w:id="286665846">
      <w:bodyDiv w:val="1"/>
      <w:marLeft w:val="0"/>
      <w:marRight w:val="0"/>
      <w:marTop w:val="0"/>
      <w:marBottom w:val="0"/>
      <w:divBdr>
        <w:top w:val="none" w:sz="0" w:space="0" w:color="auto"/>
        <w:left w:val="none" w:sz="0" w:space="0" w:color="auto"/>
        <w:bottom w:val="none" w:sz="0" w:space="0" w:color="auto"/>
        <w:right w:val="none" w:sz="0" w:space="0" w:color="auto"/>
      </w:divBdr>
      <w:divsChild>
        <w:div w:id="1632512257">
          <w:marLeft w:val="274"/>
          <w:marRight w:val="0"/>
          <w:marTop w:val="150"/>
          <w:marBottom w:val="0"/>
          <w:divBdr>
            <w:top w:val="none" w:sz="0" w:space="0" w:color="auto"/>
            <w:left w:val="none" w:sz="0" w:space="0" w:color="auto"/>
            <w:bottom w:val="none" w:sz="0" w:space="0" w:color="auto"/>
            <w:right w:val="none" w:sz="0" w:space="0" w:color="auto"/>
          </w:divBdr>
        </w:div>
      </w:divsChild>
    </w:div>
    <w:div w:id="296226162">
      <w:bodyDiv w:val="1"/>
      <w:marLeft w:val="0"/>
      <w:marRight w:val="0"/>
      <w:marTop w:val="0"/>
      <w:marBottom w:val="0"/>
      <w:divBdr>
        <w:top w:val="none" w:sz="0" w:space="0" w:color="auto"/>
        <w:left w:val="none" w:sz="0" w:space="0" w:color="auto"/>
        <w:bottom w:val="none" w:sz="0" w:space="0" w:color="auto"/>
        <w:right w:val="none" w:sz="0" w:space="0" w:color="auto"/>
      </w:divBdr>
    </w:div>
    <w:div w:id="304554888">
      <w:bodyDiv w:val="1"/>
      <w:marLeft w:val="0"/>
      <w:marRight w:val="0"/>
      <w:marTop w:val="0"/>
      <w:marBottom w:val="0"/>
      <w:divBdr>
        <w:top w:val="none" w:sz="0" w:space="0" w:color="auto"/>
        <w:left w:val="none" w:sz="0" w:space="0" w:color="auto"/>
        <w:bottom w:val="none" w:sz="0" w:space="0" w:color="auto"/>
        <w:right w:val="none" w:sz="0" w:space="0" w:color="auto"/>
      </w:divBdr>
      <w:divsChild>
        <w:div w:id="746879712">
          <w:marLeft w:val="274"/>
          <w:marRight w:val="0"/>
          <w:marTop w:val="150"/>
          <w:marBottom w:val="0"/>
          <w:divBdr>
            <w:top w:val="none" w:sz="0" w:space="0" w:color="auto"/>
            <w:left w:val="none" w:sz="0" w:space="0" w:color="auto"/>
            <w:bottom w:val="none" w:sz="0" w:space="0" w:color="auto"/>
            <w:right w:val="none" w:sz="0" w:space="0" w:color="auto"/>
          </w:divBdr>
        </w:div>
      </w:divsChild>
    </w:div>
    <w:div w:id="314258841">
      <w:bodyDiv w:val="1"/>
      <w:marLeft w:val="0"/>
      <w:marRight w:val="0"/>
      <w:marTop w:val="0"/>
      <w:marBottom w:val="0"/>
      <w:divBdr>
        <w:top w:val="none" w:sz="0" w:space="0" w:color="auto"/>
        <w:left w:val="none" w:sz="0" w:space="0" w:color="auto"/>
        <w:bottom w:val="none" w:sz="0" w:space="0" w:color="auto"/>
        <w:right w:val="none" w:sz="0" w:space="0" w:color="auto"/>
      </w:divBdr>
    </w:div>
    <w:div w:id="321468771">
      <w:bodyDiv w:val="1"/>
      <w:marLeft w:val="0"/>
      <w:marRight w:val="0"/>
      <w:marTop w:val="0"/>
      <w:marBottom w:val="0"/>
      <w:divBdr>
        <w:top w:val="none" w:sz="0" w:space="0" w:color="auto"/>
        <w:left w:val="none" w:sz="0" w:space="0" w:color="auto"/>
        <w:bottom w:val="none" w:sz="0" w:space="0" w:color="auto"/>
        <w:right w:val="none" w:sz="0" w:space="0" w:color="auto"/>
      </w:divBdr>
      <w:divsChild>
        <w:div w:id="2015105953">
          <w:marLeft w:val="274"/>
          <w:marRight w:val="0"/>
          <w:marTop w:val="150"/>
          <w:marBottom w:val="0"/>
          <w:divBdr>
            <w:top w:val="none" w:sz="0" w:space="0" w:color="auto"/>
            <w:left w:val="none" w:sz="0" w:space="0" w:color="auto"/>
            <w:bottom w:val="none" w:sz="0" w:space="0" w:color="auto"/>
            <w:right w:val="none" w:sz="0" w:space="0" w:color="auto"/>
          </w:divBdr>
        </w:div>
      </w:divsChild>
    </w:div>
    <w:div w:id="322585203">
      <w:bodyDiv w:val="1"/>
      <w:marLeft w:val="0"/>
      <w:marRight w:val="0"/>
      <w:marTop w:val="0"/>
      <w:marBottom w:val="0"/>
      <w:divBdr>
        <w:top w:val="none" w:sz="0" w:space="0" w:color="auto"/>
        <w:left w:val="none" w:sz="0" w:space="0" w:color="auto"/>
        <w:bottom w:val="none" w:sz="0" w:space="0" w:color="auto"/>
        <w:right w:val="none" w:sz="0" w:space="0" w:color="auto"/>
      </w:divBdr>
    </w:div>
    <w:div w:id="328335896">
      <w:bodyDiv w:val="1"/>
      <w:marLeft w:val="0"/>
      <w:marRight w:val="0"/>
      <w:marTop w:val="0"/>
      <w:marBottom w:val="0"/>
      <w:divBdr>
        <w:top w:val="none" w:sz="0" w:space="0" w:color="auto"/>
        <w:left w:val="none" w:sz="0" w:space="0" w:color="auto"/>
        <w:bottom w:val="none" w:sz="0" w:space="0" w:color="auto"/>
        <w:right w:val="none" w:sz="0" w:space="0" w:color="auto"/>
      </w:divBdr>
    </w:div>
    <w:div w:id="340552180">
      <w:bodyDiv w:val="1"/>
      <w:marLeft w:val="0"/>
      <w:marRight w:val="0"/>
      <w:marTop w:val="0"/>
      <w:marBottom w:val="0"/>
      <w:divBdr>
        <w:top w:val="none" w:sz="0" w:space="0" w:color="auto"/>
        <w:left w:val="none" w:sz="0" w:space="0" w:color="auto"/>
        <w:bottom w:val="none" w:sz="0" w:space="0" w:color="auto"/>
        <w:right w:val="none" w:sz="0" w:space="0" w:color="auto"/>
      </w:divBdr>
      <w:divsChild>
        <w:div w:id="224874682">
          <w:marLeft w:val="274"/>
          <w:marRight w:val="0"/>
          <w:marTop w:val="150"/>
          <w:marBottom w:val="0"/>
          <w:divBdr>
            <w:top w:val="none" w:sz="0" w:space="0" w:color="auto"/>
            <w:left w:val="none" w:sz="0" w:space="0" w:color="auto"/>
            <w:bottom w:val="none" w:sz="0" w:space="0" w:color="auto"/>
            <w:right w:val="none" w:sz="0" w:space="0" w:color="auto"/>
          </w:divBdr>
        </w:div>
      </w:divsChild>
    </w:div>
    <w:div w:id="348139213">
      <w:bodyDiv w:val="1"/>
      <w:marLeft w:val="0"/>
      <w:marRight w:val="0"/>
      <w:marTop w:val="0"/>
      <w:marBottom w:val="0"/>
      <w:divBdr>
        <w:top w:val="none" w:sz="0" w:space="0" w:color="auto"/>
        <w:left w:val="none" w:sz="0" w:space="0" w:color="auto"/>
        <w:bottom w:val="none" w:sz="0" w:space="0" w:color="auto"/>
        <w:right w:val="none" w:sz="0" w:space="0" w:color="auto"/>
      </w:divBdr>
    </w:div>
    <w:div w:id="353461236">
      <w:bodyDiv w:val="1"/>
      <w:marLeft w:val="0"/>
      <w:marRight w:val="0"/>
      <w:marTop w:val="0"/>
      <w:marBottom w:val="0"/>
      <w:divBdr>
        <w:top w:val="none" w:sz="0" w:space="0" w:color="auto"/>
        <w:left w:val="none" w:sz="0" w:space="0" w:color="auto"/>
        <w:bottom w:val="none" w:sz="0" w:space="0" w:color="auto"/>
        <w:right w:val="none" w:sz="0" w:space="0" w:color="auto"/>
      </w:divBdr>
    </w:div>
    <w:div w:id="356319671">
      <w:bodyDiv w:val="1"/>
      <w:marLeft w:val="0"/>
      <w:marRight w:val="0"/>
      <w:marTop w:val="0"/>
      <w:marBottom w:val="0"/>
      <w:divBdr>
        <w:top w:val="none" w:sz="0" w:space="0" w:color="auto"/>
        <w:left w:val="none" w:sz="0" w:space="0" w:color="auto"/>
        <w:bottom w:val="none" w:sz="0" w:space="0" w:color="auto"/>
        <w:right w:val="none" w:sz="0" w:space="0" w:color="auto"/>
      </w:divBdr>
    </w:div>
    <w:div w:id="360475546">
      <w:bodyDiv w:val="1"/>
      <w:marLeft w:val="0"/>
      <w:marRight w:val="0"/>
      <w:marTop w:val="0"/>
      <w:marBottom w:val="0"/>
      <w:divBdr>
        <w:top w:val="none" w:sz="0" w:space="0" w:color="auto"/>
        <w:left w:val="none" w:sz="0" w:space="0" w:color="auto"/>
        <w:bottom w:val="none" w:sz="0" w:space="0" w:color="auto"/>
        <w:right w:val="none" w:sz="0" w:space="0" w:color="auto"/>
      </w:divBdr>
    </w:div>
    <w:div w:id="361788057">
      <w:bodyDiv w:val="1"/>
      <w:marLeft w:val="0"/>
      <w:marRight w:val="0"/>
      <w:marTop w:val="0"/>
      <w:marBottom w:val="0"/>
      <w:divBdr>
        <w:top w:val="none" w:sz="0" w:space="0" w:color="auto"/>
        <w:left w:val="none" w:sz="0" w:space="0" w:color="auto"/>
        <w:bottom w:val="none" w:sz="0" w:space="0" w:color="auto"/>
        <w:right w:val="none" w:sz="0" w:space="0" w:color="auto"/>
      </w:divBdr>
    </w:div>
    <w:div w:id="378284106">
      <w:bodyDiv w:val="1"/>
      <w:marLeft w:val="0"/>
      <w:marRight w:val="0"/>
      <w:marTop w:val="0"/>
      <w:marBottom w:val="0"/>
      <w:divBdr>
        <w:top w:val="none" w:sz="0" w:space="0" w:color="auto"/>
        <w:left w:val="none" w:sz="0" w:space="0" w:color="auto"/>
        <w:bottom w:val="none" w:sz="0" w:space="0" w:color="auto"/>
        <w:right w:val="none" w:sz="0" w:space="0" w:color="auto"/>
      </w:divBdr>
    </w:div>
    <w:div w:id="401223494">
      <w:bodyDiv w:val="1"/>
      <w:marLeft w:val="0"/>
      <w:marRight w:val="0"/>
      <w:marTop w:val="0"/>
      <w:marBottom w:val="0"/>
      <w:divBdr>
        <w:top w:val="none" w:sz="0" w:space="0" w:color="auto"/>
        <w:left w:val="none" w:sz="0" w:space="0" w:color="auto"/>
        <w:bottom w:val="none" w:sz="0" w:space="0" w:color="auto"/>
        <w:right w:val="none" w:sz="0" w:space="0" w:color="auto"/>
      </w:divBdr>
      <w:divsChild>
        <w:div w:id="813061260">
          <w:marLeft w:val="274"/>
          <w:marRight w:val="0"/>
          <w:marTop w:val="150"/>
          <w:marBottom w:val="0"/>
          <w:divBdr>
            <w:top w:val="none" w:sz="0" w:space="0" w:color="auto"/>
            <w:left w:val="none" w:sz="0" w:space="0" w:color="auto"/>
            <w:bottom w:val="none" w:sz="0" w:space="0" w:color="auto"/>
            <w:right w:val="none" w:sz="0" w:space="0" w:color="auto"/>
          </w:divBdr>
        </w:div>
        <w:div w:id="881291033">
          <w:marLeft w:val="274"/>
          <w:marRight w:val="0"/>
          <w:marTop w:val="150"/>
          <w:marBottom w:val="0"/>
          <w:divBdr>
            <w:top w:val="none" w:sz="0" w:space="0" w:color="auto"/>
            <w:left w:val="none" w:sz="0" w:space="0" w:color="auto"/>
            <w:bottom w:val="none" w:sz="0" w:space="0" w:color="auto"/>
            <w:right w:val="none" w:sz="0" w:space="0" w:color="auto"/>
          </w:divBdr>
        </w:div>
        <w:div w:id="1466460221">
          <w:marLeft w:val="274"/>
          <w:marRight w:val="0"/>
          <w:marTop w:val="150"/>
          <w:marBottom w:val="0"/>
          <w:divBdr>
            <w:top w:val="none" w:sz="0" w:space="0" w:color="auto"/>
            <w:left w:val="none" w:sz="0" w:space="0" w:color="auto"/>
            <w:bottom w:val="none" w:sz="0" w:space="0" w:color="auto"/>
            <w:right w:val="none" w:sz="0" w:space="0" w:color="auto"/>
          </w:divBdr>
        </w:div>
        <w:div w:id="1625962607">
          <w:marLeft w:val="274"/>
          <w:marRight w:val="0"/>
          <w:marTop w:val="150"/>
          <w:marBottom w:val="0"/>
          <w:divBdr>
            <w:top w:val="none" w:sz="0" w:space="0" w:color="auto"/>
            <w:left w:val="none" w:sz="0" w:space="0" w:color="auto"/>
            <w:bottom w:val="none" w:sz="0" w:space="0" w:color="auto"/>
            <w:right w:val="none" w:sz="0" w:space="0" w:color="auto"/>
          </w:divBdr>
        </w:div>
        <w:div w:id="1883663442">
          <w:marLeft w:val="274"/>
          <w:marRight w:val="0"/>
          <w:marTop w:val="150"/>
          <w:marBottom w:val="0"/>
          <w:divBdr>
            <w:top w:val="none" w:sz="0" w:space="0" w:color="auto"/>
            <w:left w:val="none" w:sz="0" w:space="0" w:color="auto"/>
            <w:bottom w:val="none" w:sz="0" w:space="0" w:color="auto"/>
            <w:right w:val="none" w:sz="0" w:space="0" w:color="auto"/>
          </w:divBdr>
        </w:div>
        <w:div w:id="2095782272">
          <w:marLeft w:val="274"/>
          <w:marRight w:val="0"/>
          <w:marTop w:val="150"/>
          <w:marBottom w:val="0"/>
          <w:divBdr>
            <w:top w:val="none" w:sz="0" w:space="0" w:color="auto"/>
            <w:left w:val="none" w:sz="0" w:space="0" w:color="auto"/>
            <w:bottom w:val="none" w:sz="0" w:space="0" w:color="auto"/>
            <w:right w:val="none" w:sz="0" w:space="0" w:color="auto"/>
          </w:divBdr>
        </w:div>
      </w:divsChild>
    </w:div>
    <w:div w:id="424231709">
      <w:bodyDiv w:val="1"/>
      <w:marLeft w:val="0"/>
      <w:marRight w:val="0"/>
      <w:marTop w:val="0"/>
      <w:marBottom w:val="0"/>
      <w:divBdr>
        <w:top w:val="none" w:sz="0" w:space="0" w:color="auto"/>
        <w:left w:val="none" w:sz="0" w:space="0" w:color="auto"/>
        <w:bottom w:val="none" w:sz="0" w:space="0" w:color="auto"/>
        <w:right w:val="none" w:sz="0" w:space="0" w:color="auto"/>
      </w:divBdr>
    </w:div>
    <w:div w:id="478110097">
      <w:bodyDiv w:val="1"/>
      <w:marLeft w:val="0"/>
      <w:marRight w:val="0"/>
      <w:marTop w:val="0"/>
      <w:marBottom w:val="0"/>
      <w:divBdr>
        <w:top w:val="none" w:sz="0" w:space="0" w:color="auto"/>
        <w:left w:val="none" w:sz="0" w:space="0" w:color="auto"/>
        <w:bottom w:val="none" w:sz="0" w:space="0" w:color="auto"/>
        <w:right w:val="none" w:sz="0" w:space="0" w:color="auto"/>
      </w:divBdr>
      <w:divsChild>
        <w:div w:id="555745801">
          <w:marLeft w:val="274"/>
          <w:marRight w:val="0"/>
          <w:marTop w:val="150"/>
          <w:marBottom w:val="0"/>
          <w:divBdr>
            <w:top w:val="none" w:sz="0" w:space="0" w:color="auto"/>
            <w:left w:val="none" w:sz="0" w:space="0" w:color="auto"/>
            <w:bottom w:val="none" w:sz="0" w:space="0" w:color="auto"/>
            <w:right w:val="none" w:sz="0" w:space="0" w:color="auto"/>
          </w:divBdr>
        </w:div>
      </w:divsChild>
    </w:div>
    <w:div w:id="489295945">
      <w:bodyDiv w:val="1"/>
      <w:marLeft w:val="0"/>
      <w:marRight w:val="0"/>
      <w:marTop w:val="0"/>
      <w:marBottom w:val="0"/>
      <w:divBdr>
        <w:top w:val="none" w:sz="0" w:space="0" w:color="auto"/>
        <w:left w:val="none" w:sz="0" w:space="0" w:color="auto"/>
        <w:bottom w:val="none" w:sz="0" w:space="0" w:color="auto"/>
        <w:right w:val="none" w:sz="0" w:space="0" w:color="auto"/>
      </w:divBdr>
    </w:div>
    <w:div w:id="514002148">
      <w:bodyDiv w:val="1"/>
      <w:marLeft w:val="0"/>
      <w:marRight w:val="0"/>
      <w:marTop w:val="0"/>
      <w:marBottom w:val="0"/>
      <w:divBdr>
        <w:top w:val="none" w:sz="0" w:space="0" w:color="auto"/>
        <w:left w:val="none" w:sz="0" w:space="0" w:color="auto"/>
        <w:bottom w:val="none" w:sz="0" w:space="0" w:color="auto"/>
        <w:right w:val="none" w:sz="0" w:space="0" w:color="auto"/>
      </w:divBdr>
    </w:div>
    <w:div w:id="514656525">
      <w:bodyDiv w:val="1"/>
      <w:marLeft w:val="0"/>
      <w:marRight w:val="0"/>
      <w:marTop w:val="0"/>
      <w:marBottom w:val="0"/>
      <w:divBdr>
        <w:top w:val="none" w:sz="0" w:space="0" w:color="auto"/>
        <w:left w:val="none" w:sz="0" w:space="0" w:color="auto"/>
        <w:bottom w:val="none" w:sz="0" w:space="0" w:color="auto"/>
        <w:right w:val="none" w:sz="0" w:space="0" w:color="auto"/>
      </w:divBdr>
    </w:div>
    <w:div w:id="518202432">
      <w:bodyDiv w:val="1"/>
      <w:marLeft w:val="0"/>
      <w:marRight w:val="0"/>
      <w:marTop w:val="0"/>
      <w:marBottom w:val="0"/>
      <w:divBdr>
        <w:top w:val="none" w:sz="0" w:space="0" w:color="auto"/>
        <w:left w:val="none" w:sz="0" w:space="0" w:color="auto"/>
        <w:bottom w:val="none" w:sz="0" w:space="0" w:color="auto"/>
        <w:right w:val="none" w:sz="0" w:space="0" w:color="auto"/>
      </w:divBdr>
    </w:div>
    <w:div w:id="526875689">
      <w:bodyDiv w:val="1"/>
      <w:marLeft w:val="0"/>
      <w:marRight w:val="0"/>
      <w:marTop w:val="0"/>
      <w:marBottom w:val="0"/>
      <w:divBdr>
        <w:top w:val="none" w:sz="0" w:space="0" w:color="auto"/>
        <w:left w:val="none" w:sz="0" w:space="0" w:color="auto"/>
        <w:bottom w:val="none" w:sz="0" w:space="0" w:color="auto"/>
        <w:right w:val="none" w:sz="0" w:space="0" w:color="auto"/>
      </w:divBdr>
    </w:div>
    <w:div w:id="528220489">
      <w:bodyDiv w:val="1"/>
      <w:marLeft w:val="0"/>
      <w:marRight w:val="0"/>
      <w:marTop w:val="0"/>
      <w:marBottom w:val="0"/>
      <w:divBdr>
        <w:top w:val="none" w:sz="0" w:space="0" w:color="auto"/>
        <w:left w:val="none" w:sz="0" w:space="0" w:color="auto"/>
        <w:bottom w:val="none" w:sz="0" w:space="0" w:color="auto"/>
        <w:right w:val="none" w:sz="0" w:space="0" w:color="auto"/>
      </w:divBdr>
    </w:div>
    <w:div w:id="533882815">
      <w:bodyDiv w:val="1"/>
      <w:marLeft w:val="0"/>
      <w:marRight w:val="0"/>
      <w:marTop w:val="0"/>
      <w:marBottom w:val="0"/>
      <w:divBdr>
        <w:top w:val="none" w:sz="0" w:space="0" w:color="auto"/>
        <w:left w:val="none" w:sz="0" w:space="0" w:color="auto"/>
        <w:bottom w:val="none" w:sz="0" w:space="0" w:color="auto"/>
        <w:right w:val="none" w:sz="0" w:space="0" w:color="auto"/>
      </w:divBdr>
      <w:divsChild>
        <w:div w:id="1117018873">
          <w:marLeft w:val="576"/>
          <w:marRight w:val="0"/>
          <w:marTop w:val="0"/>
          <w:marBottom w:val="0"/>
          <w:divBdr>
            <w:top w:val="none" w:sz="0" w:space="0" w:color="auto"/>
            <w:left w:val="none" w:sz="0" w:space="0" w:color="auto"/>
            <w:bottom w:val="none" w:sz="0" w:space="0" w:color="auto"/>
            <w:right w:val="none" w:sz="0" w:space="0" w:color="auto"/>
          </w:divBdr>
        </w:div>
      </w:divsChild>
    </w:div>
    <w:div w:id="534272689">
      <w:bodyDiv w:val="1"/>
      <w:marLeft w:val="0"/>
      <w:marRight w:val="0"/>
      <w:marTop w:val="0"/>
      <w:marBottom w:val="0"/>
      <w:divBdr>
        <w:top w:val="none" w:sz="0" w:space="0" w:color="auto"/>
        <w:left w:val="none" w:sz="0" w:space="0" w:color="auto"/>
        <w:bottom w:val="none" w:sz="0" w:space="0" w:color="auto"/>
        <w:right w:val="none" w:sz="0" w:space="0" w:color="auto"/>
      </w:divBdr>
    </w:div>
    <w:div w:id="536090501">
      <w:bodyDiv w:val="1"/>
      <w:marLeft w:val="0"/>
      <w:marRight w:val="0"/>
      <w:marTop w:val="0"/>
      <w:marBottom w:val="0"/>
      <w:divBdr>
        <w:top w:val="none" w:sz="0" w:space="0" w:color="auto"/>
        <w:left w:val="none" w:sz="0" w:space="0" w:color="auto"/>
        <w:bottom w:val="none" w:sz="0" w:space="0" w:color="auto"/>
        <w:right w:val="none" w:sz="0" w:space="0" w:color="auto"/>
      </w:divBdr>
    </w:div>
    <w:div w:id="555553781">
      <w:bodyDiv w:val="1"/>
      <w:marLeft w:val="0"/>
      <w:marRight w:val="0"/>
      <w:marTop w:val="0"/>
      <w:marBottom w:val="0"/>
      <w:divBdr>
        <w:top w:val="none" w:sz="0" w:space="0" w:color="auto"/>
        <w:left w:val="none" w:sz="0" w:space="0" w:color="auto"/>
        <w:bottom w:val="none" w:sz="0" w:space="0" w:color="auto"/>
        <w:right w:val="none" w:sz="0" w:space="0" w:color="auto"/>
      </w:divBdr>
      <w:divsChild>
        <w:div w:id="304509577">
          <w:marLeft w:val="274"/>
          <w:marRight w:val="0"/>
          <w:marTop w:val="150"/>
          <w:marBottom w:val="0"/>
          <w:divBdr>
            <w:top w:val="none" w:sz="0" w:space="0" w:color="auto"/>
            <w:left w:val="none" w:sz="0" w:space="0" w:color="auto"/>
            <w:bottom w:val="none" w:sz="0" w:space="0" w:color="auto"/>
            <w:right w:val="none" w:sz="0" w:space="0" w:color="auto"/>
          </w:divBdr>
        </w:div>
      </w:divsChild>
    </w:div>
    <w:div w:id="572742254">
      <w:bodyDiv w:val="1"/>
      <w:marLeft w:val="0"/>
      <w:marRight w:val="0"/>
      <w:marTop w:val="0"/>
      <w:marBottom w:val="0"/>
      <w:divBdr>
        <w:top w:val="none" w:sz="0" w:space="0" w:color="auto"/>
        <w:left w:val="none" w:sz="0" w:space="0" w:color="auto"/>
        <w:bottom w:val="none" w:sz="0" w:space="0" w:color="auto"/>
        <w:right w:val="none" w:sz="0" w:space="0" w:color="auto"/>
      </w:divBdr>
    </w:div>
    <w:div w:id="594047712">
      <w:bodyDiv w:val="1"/>
      <w:marLeft w:val="0"/>
      <w:marRight w:val="0"/>
      <w:marTop w:val="0"/>
      <w:marBottom w:val="0"/>
      <w:divBdr>
        <w:top w:val="none" w:sz="0" w:space="0" w:color="auto"/>
        <w:left w:val="none" w:sz="0" w:space="0" w:color="auto"/>
        <w:bottom w:val="none" w:sz="0" w:space="0" w:color="auto"/>
        <w:right w:val="none" w:sz="0" w:space="0" w:color="auto"/>
      </w:divBdr>
    </w:div>
    <w:div w:id="626393998">
      <w:bodyDiv w:val="1"/>
      <w:marLeft w:val="0"/>
      <w:marRight w:val="0"/>
      <w:marTop w:val="0"/>
      <w:marBottom w:val="0"/>
      <w:divBdr>
        <w:top w:val="none" w:sz="0" w:space="0" w:color="auto"/>
        <w:left w:val="none" w:sz="0" w:space="0" w:color="auto"/>
        <w:bottom w:val="none" w:sz="0" w:space="0" w:color="auto"/>
        <w:right w:val="none" w:sz="0" w:space="0" w:color="auto"/>
      </w:divBdr>
    </w:div>
    <w:div w:id="627053864">
      <w:bodyDiv w:val="1"/>
      <w:marLeft w:val="0"/>
      <w:marRight w:val="0"/>
      <w:marTop w:val="0"/>
      <w:marBottom w:val="0"/>
      <w:divBdr>
        <w:top w:val="none" w:sz="0" w:space="0" w:color="auto"/>
        <w:left w:val="none" w:sz="0" w:space="0" w:color="auto"/>
        <w:bottom w:val="none" w:sz="0" w:space="0" w:color="auto"/>
        <w:right w:val="none" w:sz="0" w:space="0" w:color="auto"/>
      </w:divBdr>
    </w:div>
    <w:div w:id="629943035">
      <w:bodyDiv w:val="1"/>
      <w:marLeft w:val="0"/>
      <w:marRight w:val="0"/>
      <w:marTop w:val="0"/>
      <w:marBottom w:val="0"/>
      <w:divBdr>
        <w:top w:val="none" w:sz="0" w:space="0" w:color="auto"/>
        <w:left w:val="none" w:sz="0" w:space="0" w:color="auto"/>
        <w:bottom w:val="none" w:sz="0" w:space="0" w:color="auto"/>
        <w:right w:val="none" w:sz="0" w:space="0" w:color="auto"/>
      </w:divBdr>
    </w:div>
    <w:div w:id="632179621">
      <w:bodyDiv w:val="1"/>
      <w:marLeft w:val="0"/>
      <w:marRight w:val="0"/>
      <w:marTop w:val="0"/>
      <w:marBottom w:val="0"/>
      <w:divBdr>
        <w:top w:val="none" w:sz="0" w:space="0" w:color="auto"/>
        <w:left w:val="none" w:sz="0" w:space="0" w:color="auto"/>
        <w:bottom w:val="none" w:sz="0" w:space="0" w:color="auto"/>
        <w:right w:val="none" w:sz="0" w:space="0" w:color="auto"/>
      </w:divBdr>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74573548">
      <w:bodyDiv w:val="1"/>
      <w:marLeft w:val="0"/>
      <w:marRight w:val="0"/>
      <w:marTop w:val="0"/>
      <w:marBottom w:val="0"/>
      <w:divBdr>
        <w:top w:val="none" w:sz="0" w:space="0" w:color="auto"/>
        <w:left w:val="none" w:sz="0" w:space="0" w:color="auto"/>
        <w:bottom w:val="none" w:sz="0" w:space="0" w:color="auto"/>
        <w:right w:val="none" w:sz="0" w:space="0" w:color="auto"/>
      </w:divBdr>
    </w:div>
    <w:div w:id="680426047">
      <w:bodyDiv w:val="1"/>
      <w:marLeft w:val="0"/>
      <w:marRight w:val="0"/>
      <w:marTop w:val="0"/>
      <w:marBottom w:val="0"/>
      <w:divBdr>
        <w:top w:val="none" w:sz="0" w:space="0" w:color="auto"/>
        <w:left w:val="none" w:sz="0" w:space="0" w:color="auto"/>
        <w:bottom w:val="none" w:sz="0" w:space="0" w:color="auto"/>
        <w:right w:val="none" w:sz="0" w:space="0" w:color="auto"/>
      </w:divBdr>
    </w:div>
    <w:div w:id="708726043">
      <w:bodyDiv w:val="1"/>
      <w:marLeft w:val="0"/>
      <w:marRight w:val="0"/>
      <w:marTop w:val="0"/>
      <w:marBottom w:val="0"/>
      <w:divBdr>
        <w:top w:val="none" w:sz="0" w:space="0" w:color="auto"/>
        <w:left w:val="none" w:sz="0" w:space="0" w:color="auto"/>
        <w:bottom w:val="none" w:sz="0" w:space="0" w:color="auto"/>
        <w:right w:val="none" w:sz="0" w:space="0" w:color="auto"/>
      </w:divBdr>
    </w:div>
    <w:div w:id="710761423">
      <w:bodyDiv w:val="1"/>
      <w:marLeft w:val="0"/>
      <w:marRight w:val="0"/>
      <w:marTop w:val="0"/>
      <w:marBottom w:val="0"/>
      <w:divBdr>
        <w:top w:val="none" w:sz="0" w:space="0" w:color="auto"/>
        <w:left w:val="none" w:sz="0" w:space="0" w:color="auto"/>
        <w:bottom w:val="none" w:sz="0" w:space="0" w:color="auto"/>
        <w:right w:val="none" w:sz="0" w:space="0" w:color="auto"/>
      </w:divBdr>
    </w:div>
    <w:div w:id="719746846">
      <w:bodyDiv w:val="1"/>
      <w:marLeft w:val="0"/>
      <w:marRight w:val="0"/>
      <w:marTop w:val="0"/>
      <w:marBottom w:val="0"/>
      <w:divBdr>
        <w:top w:val="none" w:sz="0" w:space="0" w:color="auto"/>
        <w:left w:val="none" w:sz="0" w:space="0" w:color="auto"/>
        <w:bottom w:val="none" w:sz="0" w:space="0" w:color="auto"/>
        <w:right w:val="none" w:sz="0" w:space="0" w:color="auto"/>
      </w:divBdr>
    </w:div>
    <w:div w:id="726147039">
      <w:bodyDiv w:val="1"/>
      <w:marLeft w:val="0"/>
      <w:marRight w:val="0"/>
      <w:marTop w:val="0"/>
      <w:marBottom w:val="0"/>
      <w:divBdr>
        <w:top w:val="none" w:sz="0" w:space="0" w:color="auto"/>
        <w:left w:val="none" w:sz="0" w:space="0" w:color="auto"/>
        <w:bottom w:val="none" w:sz="0" w:space="0" w:color="auto"/>
        <w:right w:val="none" w:sz="0" w:space="0" w:color="auto"/>
      </w:divBdr>
    </w:div>
    <w:div w:id="726611045">
      <w:bodyDiv w:val="1"/>
      <w:marLeft w:val="0"/>
      <w:marRight w:val="0"/>
      <w:marTop w:val="0"/>
      <w:marBottom w:val="0"/>
      <w:divBdr>
        <w:top w:val="none" w:sz="0" w:space="0" w:color="auto"/>
        <w:left w:val="none" w:sz="0" w:space="0" w:color="auto"/>
        <w:bottom w:val="none" w:sz="0" w:space="0" w:color="auto"/>
        <w:right w:val="none" w:sz="0" w:space="0" w:color="auto"/>
      </w:divBdr>
    </w:div>
    <w:div w:id="739448312">
      <w:bodyDiv w:val="1"/>
      <w:marLeft w:val="0"/>
      <w:marRight w:val="0"/>
      <w:marTop w:val="0"/>
      <w:marBottom w:val="0"/>
      <w:divBdr>
        <w:top w:val="none" w:sz="0" w:space="0" w:color="auto"/>
        <w:left w:val="none" w:sz="0" w:space="0" w:color="auto"/>
        <w:bottom w:val="none" w:sz="0" w:space="0" w:color="auto"/>
        <w:right w:val="none" w:sz="0" w:space="0" w:color="auto"/>
      </w:divBdr>
    </w:div>
    <w:div w:id="744104617">
      <w:bodyDiv w:val="1"/>
      <w:marLeft w:val="0"/>
      <w:marRight w:val="0"/>
      <w:marTop w:val="0"/>
      <w:marBottom w:val="0"/>
      <w:divBdr>
        <w:top w:val="none" w:sz="0" w:space="0" w:color="auto"/>
        <w:left w:val="none" w:sz="0" w:space="0" w:color="auto"/>
        <w:bottom w:val="none" w:sz="0" w:space="0" w:color="auto"/>
        <w:right w:val="none" w:sz="0" w:space="0" w:color="auto"/>
      </w:divBdr>
    </w:div>
    <w:div w:id="754283298">
      <w:bodyDiv w:val="1"/>
      <w:marLeft w:val="0"/>
      <w:marRight w:val="0"/>
      <w:marTop w:val="0"/>
      <w:marBottom w:val="0"/>
      <w:divBdr>
        <w:top w:val="none" w:sz="0" w:space="0" w:color="auto"/>
        <w:left w:val="none" w:sz="0" w:space="0" w:color="auto"/>
        <w:bottom w:val="none" w:sz="0" w:space="0" w:color="auto"/>
        <w:right w:val="none" w:sz="0" w:space="0" w:color="auto"/>
      </w:divBdr>
      <w:divsChild>
        <w:div w:id="1411777100">
          <w:marLeft w:val="576"/>
          <w:marRight w:val="0"/>
          <w:marTop w:val="0"/>
          <w:marBottom w:val="0"/>
          <w:divBdr>
            <w:top w:val="none" w:sz="0" w:space="0" w:color="auto"/>
            <w:left w:val="none" w:sz="0" w:space="0" w:color="auto"/>
            <w:bottom w:val="none" w:sz="0" w:space="0" w:color="auto"/>
            <w:right w:val="none" w:sz="0" w:space="0" w:color="auto"/>
          </w:divBdr>
        </w:div>
      </w:divsChild>
    </w:div>
    <w:div w:id="763837792">
      <w:bodyDiv w:val="1"/>
      <w:marLeft w:val="0"/>
      <w:marRight w:val="0"/>
      <w:marTop w:val="0"/>
      <w:marBottom w:val="0"/>
      <w:divBdr>
        <w:top w:val="none" w:sz="0" w:space="0" w:color="auto"/>
        <w:left w:val="none" w:sz="0" w:space="0" w:color="auto"/>
        <w:bottom w:val="none" w:sz="0" w:space="0" w:color="auto"/>
        <w:right w:val="none" w:sz="0" w:space="0" w:color="auto"/>
      </w:divBdr>
    </w:div>
    <w:div w:id="765423042">
      <w:bodyDiv w:val="1"/>
      <w:marLeft w:val="0"/>
      <w:marRight w:val="0"/>
      <w:marTop w:val="0"/>
      <w:marBottom w:val="0"/>
      <w:divBdr>
        <w:top w:val="none" w:sz="0" w:space="0" w:color="auto"/>
        <w:left w:val="none" w:sz="0" w:space="0" w:color="auto"/>
        <w:bottom w:val="none" w:sz="0" w:space="0" w:color="auto"/>
        <w:right w:val="none" w:sz="0" w:space="0" w:color="auto"/>
      </w:divBdr>
      <w:divsChild>
        <w:div w:id="349339328">
          <w:marLeft w:val="274"/>
          <w:marRight w:val="0"/>
          <w:marTop w:val="150"/>
          <w:marBottom w:val="0"/>
          <w:divBdr>
            <w:top w:val="none" w:sz="0" w:space="0" w:color="auto"/>
            <w:left w:val="none" w:sz="0" w:space="0" w:color="auto"/>
            <w:bottom w:val="none" w:sz="0" w:space="0" w:color="auto"/>
            <w:right w:val="none" w:sz="0" w:space="0" w:color="auto"/>
          </w:divBdr>
        </w:div>
      </w:divsChild>
    </w:div>
    <w:div w:id="776952613">
      <w:bodyDiv w:val="1"/>
      <w:marLeft w:val="0"/>
      <w:marRight w:val="0"/>
      <w:marTop w:val="0"/>
      <w:marBottom w:val="0"/>
      <w:divBdr>
        <w:top w:val="none" w:sz="0" w:space="0" w:color="auto"/>
        <w:left w:val="none" w:sz="0" w:space="0" w:color="auto"/>
        <w:bottom w:val="none" w:sz="0" w:space="0" w:color="auto"/>
        <w:right w:val="none" w:sz="0" w:space="0" w:color="auto"/>
      </w:divBdr>
    </w:div>
    <w:div w:id="783424532">
      <w:bodyDiv w:val="1"/>
      <w:marLeft w:val="0"/>
      <w:marRight w:val="0"/>
      <w:marTop w:val="0"/>
      <w:marBottom w:val="0"/>
      <w:divBdr>
        <w:top w:val="none" w:sz="0" w:space="0" w:color="auto"/>
        <w:left w:val="none" w:sz="0" w:space="0" w:color="auto"/>
        <w:bottom w:val="none" w:sz="0" w:space="0" w:color="auto"/>
        <w:right w:val="none" w:sz="0" w:space="0" w:color="auto"/>
      </w:divBdr>
    </w:div>
    <w:div w:id="804470493">
      <w:bodyDiv w:val="1"/>
      <w:marLeft w:val="0"/>
      <w:marRight w:val="0"/>
      <w:marTop w:val="0"/>
      <w:marBottom w:val="0"/>
      <w:divBdr>
        <w:top w:val="none" w:sz="0" w:space="0" w:color="auto"/>
        <w:left w:val="none" w:sz="0" w:space="0" w:color="auto"/>
        <w:bottom w:val="none" w:sz="0" w:space="0" w:color="auto"/>
        <w:right w:val="none" w:sz="0" w:space="0" w:color="auto"/>
      </w:divBdr>
    </w:div>
    <w:div w:id="824663524">
      <w:bodyDiv w:val="1"/>
      <w:marLeft w:val="0"/>
      <w:marRight w:val="0"/>
      <w:marTop w:val="0"/>
      <w:marBottom w:val="0"/>
      <w:divBdr>
        <w:top w:val="none" w:sz="0" w:space="0" w:color="auto"/>
        <w:left w:val="none" w:sz="0" w:space="0" w:color="auto"/>
        <w:bottom w:val="none" w:sz="0" w:space="0" w:color="auto"/>
        <w:right w:val="none" w:sz="0" w:space="0" w:color="auto"/>
      </w:divBdr>
    </w:div>
    <w:div w:id="838347918">
      <w:bodyDiv w:val="1"/>
      <w:marLeft w:val="0"/>
      <w:marRight w:val="0"/>
      <w:marTop w:val="0"/>
      <w:marBottom w:val="0"/>
      <w:divBdr>
        <w:top w:val="none" w:sz="0" w:space="0" w:color="auto"/>
        <w:left w:val="none" w:sz="0" w:space="0" w:color="auto"/>
        <w:bottom w:val="none" w:sz="0" w:space="0" w:color="auto"/>
        <w:right w:val="none" w:sz="0" w:space="0" w:color="auto"/>
      </w:divBdr>
    </w:div>
    <w:div w:id="854073883">
      <w:bodyDiv w:val="1"/>
      <w:marLeft w:val="0"/>
      <w:marRight w:val="0"/>
      <w:marTop w:val="0"/>
      <w:marBottom w:val="0"/>
      <w:divBdr>
        <w:top w:val="none" w:sz="0" w:space="0" w:color="auto"/>
        <w:left w:val="none" w:sz="0" w:space="0" w:color="auto"/>
        <w:bottom w:val="none" w:sz="0" w:space="0" w:color="auto"/>
        <w:right w:val="none" w:sz="0" w:space="0" w:color="auto"/>
      </w:divBdr>
    </w:div>
    <w:div w:id="873075733">
      <w:bodyDiv w:val="1"/>
      <w:marLeft w:val="0"/>
      <w:marRight w:val="0"/>
      <w:marTop w:val="0"/>
      <w:marBottom w:val="0"/>
      <w:divBdr>
        <w:top w:val="none" w:sz="0" w:space="0" w:color="auto"/>
        <w:left w:val="none" w:sz="0" w:space="0" w:color="auto"/>
        <w:bottom w:val="none" w:sz="0" w:space="0" w:color="auto"/>
        <w:right w:val="none" w:sz="0" w:space="0" w:color="auto"/>
      </w:divBdr>
    </w:div>
    <w:div w:id="874539966">
      <w:bodyDiv w:val="1"/>
      <w:marLeft w:val="0"/>
      <w:marRight w:val="0"/>
      <w:marTop w:val="0"/>
      <w:marBottom w:val="0"/>
      <w:divBdr>
        <w:top w:val="none" w:sz="0" w:space="0" w:color="auto"/>
        <w:left w:val="none" w:sz="0" w:space="0" w:color="auto"/>
        <w:bottom w:val="none" w:sz="0" w:space="0" w:color="auto"/>
        <w:right w:val="none" w:sz="0" w:space="0" w:color="auto"/>
      </w:divBdr>
    </w:div>
    <w:div w:id="947734778">
      <w:bodyDiv w:val="1"/>
      <w:marLeft w:val="0"/>
      <w:marRight w:val="0"/>
      <w:marTop w:val="0"/>
      <w:marBottom w:val="0"/>
      <w:divBdr>
        <w:top w:val="none" w:sz="0" w:space="0" w:color="auto"/>
        <w:left w:val="none" w:sz="0" w:space="0" w:color="auto"/>
        <w:bottom w:val="none" w:sz="0" w:space="0" w:color="auto"/>
        <w:right w:val="none" w:sz="0" w:space="0" w:color="auto"/>
      </w:divBdr>
    </w:div>
    <w:div w:id="974718598">
      <w:bodyDiv w:val="1"/>
      <w:marLeft w:val="0"/>
      <w:marRight w:val="0"/>
      <w:marTop w:val="0"/>
      <w:marBottom w:val="0"/>
      <w:divBdr>
        <w:top w:val="none" w:sz="0" w:space="0" w:color="auto"/>
        <w:left w:val="none" w:sz="0" w:space="0" w:color="auto"/>
        <w:bottom w:val="none" w:sz="0" w:space="0" w:color="auto"/>
        <w:right w:val="none" w:sz="0" w:space="0" w:color="auto"/>
      </w:divBdr>
    </w:div>
    <w:div w:id="975181565">
      <w:bodyDiv w:val="1"/>
      <w:marLeft w:val="0"/>
      <w:marRight w:val="0"/>
      <w:marTop w:val="0"/>
      <w:marBottom w:val="0"/>
      <w:divBdr>
        <w:top w:val="none" w:sz="0" w:space="0" w:color="auto"/>
        <w:left w:val="none" w:sz="0" w:space="0" w:color="auto"/>
        <w:bottom w:val="none" w:sz="0" w:space="0" w:color="auto"/>
        <w:right w:val="none" w:sz="0" w:space="0" w:color="auto"/>
      </w:divBdr>
    </w:div>
    <w:div w:id="982004761">
      <w:bodyDiv w:val="1"/>
      <w:marLeft w:val="0"/>
      <w:marRight w:val="0"/>
      <w:marTop w:val="0"/>
      <w:marBottom w:val="0"/>
      <w:divBdr>
        <w:top w:val="none" w:sz="0" w:space="0" w:color="auto"/>
        <w:left w:val="none" w:sz="0" w:space="0" w:color="auto"/>
        <w:bottom w:val="none" w:sz="0" w:space="0" w:color="auto"/>
        <w:right w:val="none" w:sz="0" w:space="0" w:color="auto"/>
      </w:divBdr>
    </w:div>
    <w:div w:id="989597303">
      <w:bodyDiv w:val="1"/>
      <w:marLeft w:val="0"/>
      <w:marRight w:val="0"/>
      <w:marTop w:val="0"/>
      <w:marBottom w:val="0"/>
      <w:divBdr>
        <w:top w:val="none" w:sz="0" w:space="0" w:color="auto"/>
        <w:left w:val="none" w:sz="0" w:space="0" w:color="auto"/>
        <w:bottom w:val="none" w:sz="0" w:space="0" w:color="auto"/>
        <w:right w:val="none" w:sz="0" w:space="0" w:color="auto"/>
      </w:divBdr>
    </w:div>
    <w:div w:id="998969396">
      <w:bodyDiv w:val="1"/>
      <w:marLeft w:val="0"/>
      <w:marRight w:val="0"/>
      <w:marTop w:val="0"/>
      <w:marBottom w:val="0"/>
      <w:divBdr>
        <w:top w:val="none" w:sz="0" w:space="0" w:color="auto"/>
        <w:left w:val="none" w:sz="0" w:space="0" w:color="auto"/>
        <w:bottom w:val="none" w:sz="0" w:space="0" w:color="auto"/>
        <w:right w:val="none" w:sz="0" w:space="0" w:color="auto"/>
      </w:divBdr>
    </w:div>
    <w:div w:id="1006860173">
      <w:bodyDiv w:val="1"/>
      <w:marLeft w:val="0"/>
      <w:marRight w:val="0"/>
      <w:marTop w:val="0"/>
      <w:marBottom w:val="0"/>
      <w:divBdr>
        <w:top w:val="none" w:sz="0" w:space="0" w:color="auto"/>
        <w:left w:val="none" w:sz="0" w:space="0" w:color="auto"/>
        <w:bottom w:val="none" w:sz="0" w:space="0" w:color="auto"/>
        <w:right w:val="none" w:sz="0" w:space="0" w:color="auto"/>
      </w:divBdr>
    </w:div>
    <w:div w:id="1017124500">
      <w:bodyDiv w:val="1"/>
      <w:marLeft w:val="0"/>
      <w:marRight w:val="0"/>
      <w:marTop w:val="0"/>
      <w:marBottom w:val="0"/>
      <w:divBdr>
        <w:top w:val="none" w:sz="0" w:space="0" w:color="auto"/>
        <w:left w:val="none" w:sz="0" w:space="0" w:color="auto"/>
        <w:bottom w:val="none" w:sz="0" w:space="0" w:color="auto"/>
        <w:right w:val="none" w:sz="0" w:space="0" w:color="auto"/>
      </w:divBdr>
    </w:div>
    <w:div w:id="1039286377">
      <w:bodyDiv w:val="1"/>
      <w:marLeft w:val="0"/>
      <w:marRight w:val="0"/>
      <w:marTop w:val="0"/>
      <w:marBottom w:val="0"/>
      <w:divBdr>
        <w:top w:val="none" w:sz="0" w:space="0" w:color="auto"/>
        <w:left w:val="none" w:sz="0" w:space="0" w:color="auto"/>
        <w:bottom w:val="none" w:sz="0" w:space="0" w:color="auto"/>
        <w:right w:val="none" w:sz="0" w:space="0" w:color="auto"/>
      </w:divBdr>
    </w:div>
    <w:div w:id="1043409238">
      <w:bodyDiv w:val="1"/>
      <w:marLeft w:val="0"/>
      <w:marRight w:val="0"/>
      <w:marTop w:val="0"/>
      <w:marBottom w:val="0"/>
      <w:divBdr>
        <w:top w:val="none" w:sz="0" w:space="0" w:color="auto"/>
        <w:left w:val="none" w:sz="0" w:space="0" w:color="auto"/>
        <w:bottom w:val="none" w:sz="0" w:space="0" w:color="auto"/>
        <w:right w:val="none" w:sz="0" w:space="0" w:color="auto"/>
      </w:divBdr>
    </w:div>
    <w:div w:id="1049844359">
      <w:bodyDiv w:val="1"/>
      <w:marLeft w:val="0"/>
      <w:marRight w:val="0"/>
      <w:marTop w:val="0"/>
      <w:marBottom w:val="0"/>
      <w:divBdr>
        <w:top w:val="none" w:sz="0" w:space="0" w:color="auto"/>
        <w:left w:val="none" w:sz="0" w:space="0" w:color="auto"/>
        <w:bottom w:val="none" w:sz="0" w:space="0" w:color="auto"/>
        <w:right w:val="none" w:sz="0" w:space="0" w:color="auto"/>
      </w:divBdr>
    </w:div>
    <w:div w:id="1050110126">
      <w:bodyDiv w:val="1"/>
      <w:marLeft w:val="0"/>
      <w:marRight w:val="0"/>
      <w:marTop w:val="0"/>
      <w:marBottom w:val="0"/>
      <w:divBdr>
        <w:top w:val="none" w:sz="0" w:space="0" w:color="auto"/>
        <w:left w:val="none" w:sz="0" w:space="0" w:color="auto"/>
        <w:bottom w:val="none" w:sz="0" w:space="0" w:color="auto"/>
        <w:right w:val="none" w:sz="0" w:space="0" w:color="auto"/>
      </w:divBdr>
    </w:div>
    <w:div w:id="1084063219">
      <w:bodyDiv w:val="1"/>
      <w:marLeft w:val="0"/>
      <w:marRight w:val="0"/>
      <w:marTop w:val="0"/>
      <w:marBottom w:val="0"/>
      <w:divBdr>
        <w:top w:val="none" w:sz="0" w:space="0" w:color="auto"/>
        <w:left w:val="none" w:sz="0" w:space="0" w:color="auto"/>
        <w:bottom w:val="none" w:sz="0" w:space="0" w:color="auto"/>
        <w:right w:val="none" w:sz="0" w:space="0" w:color="auto"/>
      </w:divBdr>
    </w:div>
    <w:div w:id="1094977840">
      <w:bodyDiv w:val="1"/>
      <w:marLeft w:val="0"/>
      <w:marRight w:val="0"/>
      <w:marTop w:val="0"/>
      <w:marBottom w:val="0"/>
      <w:divBdr>
        <w:top w:val="none" w:sz="0" w:space="0" w:color="auto"/>
        <w:left w:val="none" w:sz="0" w:space="0" w:color="auto"/>
        <w:bottom w:val="none" w:sz="0" w:space="0" w:color="auto"/>
        <w:right w:val="none" w:sz="0" w:space="0" w:color="auto"/>
      </w:divBdr>
    </w:div>
    <w:div w:id="1113524345">
      <w:bodyDiv w:val="1"/>
      <w:marLeft w:val="0"/>
      <w:marRight w:val="0"/>
      <w:marTop w:val="0"/>
      <w:marBottom w:val="0"/>
      <w:divBdr>
        <w:top w:val="none" w:sz="0" w:space="0" w:color="auto"/>
        <w:left w:val="none" w:sz="0" w:space="0" w:color="auto"/>
        <w:bottom w:val="none" w:sz="0" w:space="0" w:color="auto"/>
        <w:right w:val="none" w:sz="0" w:space="0" w:color="auto"/>
      </w:divBdr>
    </w:div>
    <w:div w:id="1120953565">
      <w:bodyDiv w:val="1"/>
      <w:marLeft w:val="0"/>
      <w:marRight w:val="0"/>
      <w:marTop w:val="0"/>
      <w:marBottom w:val="0"/>
      <w:divBdr>
        <w:top w:val="none" w:sz="0" w:space="0" w:color="auto"/>
        <w:left w:val="none" w:sz="0" w:space="0" w:color="auto"/>
        <w:bottom w:val="none" w:sz="0" w:space="0" w:color="auto"/>
        <w:right w:val="none" w:sz="0" w:space="0" w:color="auto"/>
      </w:divBdr>
    </w:div>
    <w:div w:id="1127969219">
      <w:bodyDiv w:val="1"/>
      <w:marLeft w:val="0"/>
      <w:marRight w:val="0"/>
      <w:marTop w:val="0"/>
      <w:marBottom w:val="0"/>
      <w:divBdr>
        <w:top w:val="none" w:sz="0" w:space="0" w:color="auto"/>
        <w:left w:val="none" w:sz="0" w:space="0" w:color="auto"/>
        <w:bottom w:val="none" w:sz="0" w:space="0" w:color="auto"/>
        <w:right w:val="none" w:sz="0" w:space="0" w:color="auto"/>
      </w:divBdr>
    </w:div>
    <w:div w:id="1133133504">
      <w:bodyDiv w:val="1"/>
      <w:marLeft w:val="0"/>
      <w:marRight w:val="0"/>
      <w:marTop w:val="0"/>
      <w:marBottom w:val="0"/>
      <w:divBdr>
        <w:top w:val="none" w:sz="0" w:space="0" w:color="auto"/>
        <w:left w:val="none" w:sz="0" w:space="0" w:color="auto"/>
        <w:bottom w:val="none" w:sz="0" w:space="0" w:color="auto"/>
        <w:right w:val="none" w:sz="0" w:space="0" w:color="auto"/>
      </w:divBdr>
    </w:div>
    <w:div w:id="1133905139">
      <w:bodyDiv w:val="1"/>
      <w:marLeft w:val="0"/>
      <w:marRight w:val="0"/>
      <w:marTop w:val="0"/>
      <w:marBottom w:val="0"/>
      <w:divBdr>
        <w:top w:val="none" w:sz="0" w:space="0" w:color="auto"/>
        <w:left w:val="none" w:sz="0" w:space="0" w:color="auto"/>
        <w:bottom w:val="none" w:sz="0" w:space="0" w:color="auto"/>
        <w:right w:val="none" w:sz="0" w:space="0" w:color="auto"/>
      </w:divBdr>
    </w:div>
    <w:div w:id="1135835293">
      <w:bodyDiv w:val="1"/>
      <w:marLeft w:val="0"/>
      <w:marRight w:val="0"/>
      <w:marTop w:val="0"/>
      <w:marBottom w:val="0"/>
      <w:divBdr>
        <w:top w:val="none" w:sz="0" w:space="0" w:color="auto"/>
        <w:left w:val="none" w:sz="0" w:space="0" w:color="auto"/>
        <w:bottom w:val="none" w:sz="0" w:space="0" w:color="auto"/>
        <w:right w:val="none" w:sz="0" w:space="0" w:color="auto"/>
      </w:divBdr>
    </w:div>
    <w:div w:id="1151214415">
      <w:bodyDiv w:val="1"/>
      <w:marLeft w:val="0"/>
      <w:marRight w:val="0"/>
      <w:marTop w:val="0"/>
      <w:marBottom w:val="0"/>
      <w:divBdr>
        <w:top w:val="none" w:sz="0" w:space="0" w:color="auto"/>
        <w:left w:val="none" w:sz="0" w:space="0" w:color="auto"/>
        <w:bottom w:val="none" w:sz="0" w:space="0" w:color="auto"/>
        <w:right w:val="none" w:sz="0" w:space="0" w:color="auto"/>
      </w:divBdr>
    </w:div>
    <w:div w:id="1206673079">
      <w:bodyDiv w:val="1"/>
      <w:marLeft w:val="0"/>
      <w:marRight w:val="0"/>
      <w:marTop w:val="0"/>
      <w:marBottom w:val="0"/>
      <w:divBdr>
        <w:top w:val="none" w:sz="0" w:space="0" w:color="auto"/>
        <w:left w:val="none" w:sz="0" w:space="0" w:color="auto"/>
        <w:bottom w:val="none" w:sz="0" w:space="0" w:color="auto"/>
        <w:right w:val="none" w:sz="0" w:space="0" w:color="auto"/>
      </w:divBdr>
      <w:divsChild>
        <w:div w:id="968631897">
          <w:marLeft w:val="274"/>
          <w:marRight w:val="0"/>
          <w:marTop w:val="150"/>
          <w:marBottom w:val="0"/>
          <w:divBdr>
            <w:top w:val="none" w:sz="0" w:space="0" w:color="auto"/>
            <w:left w:val="none" w:sz="0" w:space="0" w:color="auto"/>
            <w:bottom w:val="none" w:sz="0" w:space="0" w:color="auto"/>
            <w:right w:val="none" w:sz="0" w:space="0" w:color="auto"/>
          </w:divBdr>
        </w:div>
      </w:divsChild>
    </w:div>
    <w:div w:id="1241139603">
      <w:bodyDiv w:val="1"/>
      <w:marLeft w:val="0"/>
      <w:marRight w:val="0"/>
      <w:marTop w:val="0"/>
      <w:marBottom w:val="0"/>
      <w:divBdr>
        <w:top w:val="none" w:sz="0" w:space="0" w:color="auto"/>
        <w:left w:val="none" w:sz="0" w:space="0" w:color="auto"/>
        <w:bottom w:val="none" w:sz="0" w:space="0" w:color="auto"/>
        <w:right w:val="none" w:sz="0" w:space="0" w:color="auto"/>
      </w:divBdr>
    </w:div>
    <w:div w:id="1257247715">
      <w:bodyDiv w:val="1"/>
      <w:marLeft w:val="0"/>
      <w:marRight w:val="0"/>
      <w:marTop w:val="0"/>
      <w:marBottom w:val="0"/>
      <w:divBdr>
        <w:top w:val="none" w:sz="0" w:space="0" w:color="auto"/>
        <w:left w:val="none" w:sz="0" w:space="0" w:color="auto"/>
        <w:bottom w:val="none" w:sz="0" w:space="0" w:color="auto"/>
        <w:right w:val="none" w:sz="0" w:space="0" w:color="auto"/>
      </w:divBdr>
    </w:div>
    <w:div w:id="1279531069">
      <w:bodyDiv w:val="1"/>
      <w:marLeft w:val="0"/>
      <w:marRight w:val="0"/>
      <w:marTop w:val="0"/>
      <w:marBottom w:val="0"/>
      <w:divBdr>
        <w:top w:val="none" w:sz="0" w:space="0" w:color="auto"/>
        <w:left w:val="none" w:sz="0" w:space="0" w:color="auto"/>
        <w:bottom w:val="none" w:sz="0" w:space="0" w:color="auto"/>
        <w:right w:val="none" w:sz="0" w:space="0" w:color="auto"/>
      </w:divBdr>
    </w:div>
    <w:div w:id="1286544289">
      <w:bodyDiv w:val="1"/>
      <w:marLeft w:val="0"/>
      <w:marRight w:val="0"/>
      <w:marTop w:val="0"/>
      <w:marBottom w:val="0"/>
      <w:divBdr>
        <w:top w:val="none" w:sz="0" w:space="0" w:color="auto"/>
        <w:left w:val="none" w:sz="0" w:space="0" w:color="auto"/>
        <w:bottom w:val="none" w:sz="0" w:space="0" w:color="auto"/>
        <w:right w:val="none" w:sz="0" w:space="0" w:color="auto"/>
      </w:divBdr>
    </w:div>
    <w:div w:id="1292714625">
      <w:bodyDiv w:val="1"/>
      <w:marLeft w:val="0"/>
      <w:marRight w:val="0"/>
      <w:marTop w:val="0"/>
      <w:marBottom w:val="0"/>
      <w:divBdr>
        <w:top w:val="none" w:sz="0" w:space="0" w:color="auto"/>
        <w:left w:val="none" w:sz="0" w:space="0" w:color="auto"/>
        <w:bottom w:val="none" w:sz="0" w:space="0" w:color="auto"/>
        <w:right w:val="none" w:sz="0" w:space="0" w:color="auto"/>
      </w:divBdr>
    </w:div>
    <w:div w:id="1292829396">
      <w:bodyDiv w:val="1"/>
      <w:marLeft w:val="0"/>
      <w:marRight w:val="0"/>
      <w:marTop w:val="0"/>
      <w:marBottom w:val="0"/>
      <w:divBdr>
        <w:top w:val="none" w:sz="0" w:space="0" w:color="auto"/>
        <w:left w:val="none" w:sz="0" w:space="0" w:color="auto"/>
        <w:bottom w:val="none" w:sz="0" w:space="0" w:color="auto"/>
        <w:right w:val="none" w:sz="0" w:space="0" w:color="auto"/>
      </w:divBdr>
    </w:div>
    <w:div w:id="1302886635">
      <w:bodyDiv w:val="1"/>
      <w:marLeft w:val="0"/>
      <w:marRight w:val="0"/>
      <w:marTop w:val="0"/>
      <w:marBottom w:val="0"/>
      <w:divBdr>
        <w:top w:val="none" w:sz="0" w:space="0" w:color="auto"/>
        <w:left w:val="none" w:sz="0" w:space="0" w:color="auto"/>
        <w:bottom w:val="none" w:sz="0" w:space="0" w:color="auto"/>
        <w:right w:val="none" w:sz="0" w:space="0" w:color="auto"/>
      </w:divBdr>
    </w:div>
    <w:div w:id="1306473863">
      <w:bodyDiv w:val="1"/>
      <w:marLeft w:val="0"/>
      <w:marRight w:val="0"/>
      <w:marTop w:val="0"/>
      <w:marBottom w:val="0"/>
      <w:divBdr>
        <w:top w:val="none" w:sz="0" w:space="0" w:color="auto"/>
        <w:left w:val="none" w:sz="0" w:space="0" w:color="auto"/>
        <w:bottom w:val="none" w:sz="0" w:space="0" w:color="auto"/>
        <w:right w:val="none" w:sz="0" w:space="0" w:color="auto"/>
      </w:divBdr>
    </w:div>
    <w:div w:id="1310549937">
      <w:bodyDiv w:val="1"/>
      <w:marLeft w:val="0"/>
      <w:marRight w:val="0"/>
      <w:marTop w:val="0"/>
      <w:marBottom w:val="0"/>
      <w:divBdr>
        <w:top w:val="none" w:sz="0" w:space="0" w:color="auto"/>
        <w:left w:val="none" w:sz="0" w:space="0" w:color="auto"/>
        <w:bottom w:val="none" w:sz="0" w:space="0" w:color="auto"/>
        <w:right w:val="none" w:sz="0" w:space="0" w:color="auto"/>
      </w:divBdr>
    </w:div>
    <w:div w:id="1353410601">
      <w:bodyDiv w:val="1"/>
      <w:marLeft w:val="0"/>
      <w:marRight w:val="0"/>
      <w:marTop w:val="0"/>
      <w:marBottom w:val="0"/>
      <w:divBdr>
        <w:top w:val="none" w:sz="0" w:space="0" w:color="auto"/>
        <w:left w:val="none" w:sz="0" w:space="0" w:color="auto"/>
        <w:bottom w:val="none" w:sz="0" w:space="0" w:color="auto"/>
        <w:right w:val="none" w:sz="0" w:space="0" w:color="auto"/>
      </w:divBdr>
      <w:divsChild>
        <w:div w:id="1123229692">
          <w:marLeft w:val="274"/>
          <w:marRight w:val="0"/>
          <w:marTop w:val="150"/>
          <w:marBottom w:val="0"/>
          <w:divBdr>
            <w:top w:val="none" w:sz="0" w:space="0" w:color="auto"/>
            <w:left w:val="none" w:sz="0" w:space="0" w:color="auto"/>
            <w:bottom w:val="none" w:sz="0" w:space="0" w:color="auto"/>
            <w:right w:val="none" w:sz="0" w:space="0" w:color="auto"/>
          </w:divBdr>
        </w:div>
        <w:div w:id="1484547184">
          <w:marLeft w:val="274"/>
          <w:marRight w:val="0"/>
          <w:marTop w:val="150"/>
          <w:marBottom w:val="0"/>
          <w:divBdr>
            <w:top w:val="none" w:sz="0" w:space="0" w:color="auto"/>
            <w:left w:val="none" w:sz="0" w:space="0" w:color="auto"/>
            <w:bottom w:val="none" w:sz="0" w:space="0" w:color="auto"/>
            <w:right w:val="none" w:sz="0" w:space="0" w:color="auto"/>
          </w:divBdr>
        </w:div>
        <w:div w:id="2105614583">
          <w:marLeft w:val="274"/>
          <w:marRight w:val="0"/>
          <w:marTop w:val="150"/>
          <w:marBottom w:val="0"/>
          <w:divBdr>
            <w:top w:val="none" w:sz="0" w:space="0" w:color="auto"/>
            <w:left w:val="none" w:sz="0" w:space="0" w:color="auto"/>
            <w:bottom w:val="none" w:sz="0" w:space="0" w:color="auto"/>
            <w:right w:val="none" w:sz="0" w:space="0" w:color="auto"/>
          </w:divBdr>
        </w:div>
        <w:div w:id="2145543684">
          <w:marLeft w:val="274"/>
          <w:marRight w:val="0"/>
          <w:marTop w:val="150"/>
          <w:marBottom w:val="0"/>
          <w:divBdr>
            <w:top w:val="none" w:sz="0" w:space="0" w:color="auto"/>
            <w:left w:val="none" w:sz="0" w:space="0" w:color="auto"/>
            <w:bottom w:val="none" w:sz="0" w:space="0" w:color="auto"/>
            <w:right w:val="none" w:sz="0" w:space="0" w:color="auto"/>
          </w:divBdr>
        </w:div>
      </w:divsChild>
    </w:div>
    <w:div w:id="1353914714">
      <w:bodyDiv w:val="1"/>
      <w:marLeft w:val="0"/>
      <w:marRight w:val="0"/>
      <w:marTop w:val="0"/>
      <w:marBottom w:val="0"/>
      <w:divBdr>
        <w:top w:val="none" w:sz="0" w:space="0" w:color="auto"/>
        <w:left w:val="none" w:sz="0" w:space="0" w:color="auto"/>
        <w:bottom w:val="none" w:sz="0" w:space="0" w:color="auto"/>
        <w:right w:val="none" w:sz="0" w:space="0" w:color="auto"/>
      </w:divBdr>
    </w:div>
    <w:div w:id="1373994057">
      <w:bodyDiv w:val="1"/>
      <w:marLeft w:val="0"/>
      <w:marRight w:val="0"/>
      <w:marTop w:val="0"/>
      <w:marBottom w:val="0"/>
      <w:divBdr>
        <w:top w:val="none" w:sz="0" w:space="0" w:color="auto"/>
        <w:left w:val="none" w:sz="0" w:space="0" w:color="auto"/>
        <w:bottom w:val="none" w:sz="0" w:space="0" w:color="auto"/>
        <w:right w:val="none" w:sz="0" w:space="0" w:color="auto"/>
      </w:divBdr>
    </w:div>
    <w:div w:id="1380978269">
      <w:bodyDiv w:val="1"/>
      <w:marLeft w:val="0"/>
      <w:marRight w:val="0"/>
      <w:marTop w:val="0"/>
      <w:marBottom w:val="0"/>
      <w:divBdr>
        <w:top w:val="none" w:sz="0" w:space="0" w:color="auto"/>
        <w:left w:val="none" w:sz="0" w:space="0" w:color="auto"/>
        <w:bottom w:val="none" w:sz="0" w:space="0" w:color="auto"/>
        <w:right w:val="none" w:sz="0" w:space="0" w:color="auto"/>
      </w:divBdr>
    </w:div>
    <w:div w:id="1383364228">
      <w:bodyDiv w:val="1"/>
      <w:marLeft w:val="0"/>
      <w:marRight w:val="0"/>
      <w:marTop w:val="0"/>
      <w:marBottom w:val="0"/>
      <w:divBdr>
        <w:top w:val="none" w:sz="0" w:space="0" w:color="auto"/>
        <w:left w:val="none" w:sz="0" w:space="0" w:color="auto"/>
        <w:bottom w:val="none" w:sz="0" w:space="0" w:color="auto"/>
        <w:right w:val="none" w:sz="0" w:space="0" w:color="auto"/>
      </w:divBdr>
    </w:div>
    <w:div w:id="1392535983">
      <w:bodyDiv w:val="1"/>
      <w:marLeft w:val="0"/>
      <w:marRight w:val="0"/>
      <w:marTop w:val="0"/>
      <w:marBottom w:val="0"/>
      <w:divBdr>
        <w:top w:val="none" w:sz="0" w:space="0" w:color="auto"/>
        <w:left w:val="none" w:sz="0" w:space="0" w:color="auto"/>
        <w:bottom w:val="none" w:sz="0" w:space="0" w:color="auto"/>
        <w:right w:val="none" w:sz="0" w:space="0" w:color="auto"/>
      </w:divBdr>
    </w:div>
    <w:div w:id="1393848362">
      <w:bodyDiv w:val="1"/>
      <w:marLeft w:val="0"/>
      <w:marRight w:val="0"/>
      <w:marTop w:val="0"/>
      <w:marBottom w:val="0"/>
      <w:divBdr>
        <w:top w:val="none" w:sz="0" w:space="0" w:color="auto"/>
        <w:left w:val="none" w:sz="0" w:space="0" w:color="auto"/>
        <w:bottom w:val="none" w:sz="0" w:space="0" w:color="auto"/>
        <w:right w:val="none" w:sz="0" w:space="0" w:color="auto"/>
      </w:divBdr>
    </w:div>
    <w:div w:id="1396584930">
      <w:bodyDiv w:val="1"/>
      <w:marLeft w:val="0"/>
      <w:marRight w:val="0"/>
      <w:marTop w:val="0"/>
      <w:marBottom w:val="0"/>
      <w:divBdr>
        <w:top w:val="none" w:sz="0" w:space="0" w:color="auto"/>
        <w:left w:val="none" w:sz="0" w:space="0" w:color="auto"/>
        <w:bottom w:val="none" w:sz="0" w:space="0" w:color="auto"/>
        <w:right w:val="none" w:sz="0" w:space="0" w:color="auto"/>
      </w:divBdr>
    </w:div>
    <w:div w:id="1406225849">
      <w:bodyDiv w:val="1"/>
      <w:marLeft w:val="0"/>
      <w:marRight w:val="0"/>
      <w:marTop w:val="0"/>
      <w:marBottom w:val="0"/>
      <w:divBdr>
        <w:top w:val="none" w:sz="0" w:space="0" w:color="auto"/>
        <w:left w:val="none" w:sz="0" w:space="0" w:color="auto"/>
        <w:bottom w:val="none" w:sz="0" w:space="0" w:color="auto"/>
        <w:right w:val="none" w:sz="0" w:space="0" w:color="auto"/>
      </w:divBdr>
    </w:div>
    <w:div w:id="1411266538">
      <w:bodyDiv w:val="1"/>
      <w:marLeft w:val="0"/>
      <w:marRight w:val="0"/>
      <w:marTop w:val="0"/>
      <w:marBottom w:val="0"/>
      <w:divBdr>
        <w:top w:val="none" w:sz="0" w:space="0" w:color="auto"/>
        <w:left w:val="none" w:sz="0" w:space="0" w:color="auto"/>
        <w:bottom w:val="none" w:sz="0" w:space="0" w:color="auto"/>
        <w:right w:val="none" w:sz="0" w:space="0" w:color="auto"/>
      </w:divBdr>
    </w:div>
    <w:div w:id="1416436185">
      <w:bodyDiv w:val="1"/>
      <w:marLeft w:val="0"/>
      <w:marRight w:val="0"/>
      <w:marTop w:val="0"/>
      <w:marBottom w:val="0"/>
      <w:divBdr>
        <w:top w:val="none" w:sz="0" w:space="0" w:color="auto"/>
        <w:left w:val="none" w:sz="0" w:space="0" w:color="auto"/>
        <w:bottom w:val="none" w:sz="0" w:space="0" w:color="auto"/>
        <w:right w:val="none" w:sz="0" w:space="0" w:color="auto"/>
      </w:divBdr>
    </w:div>
    <w:div w:id="1422722462">
      <w:bodyDiv w:val="1"/>
      <w:marLeft w:val="0"/>
      <w:marRight w:val="0"/>
      <w:marTop w:val="0"/>
      <w:marBottom w:val="0"/>
      <w:divBdr>
        <w:top w:val="none" w:sz="0" w:space="0" w:color="auto"/>
        <w:left w:val="none" w:sz="0" w:space="0" w:color="auto"/>
        <w:bottom w:val="none" w:sz="0" w:space="0" w:color="auto"/>
        <w:right w:val="none" w:sz="0" w:space="0" w:color="auto"/>
      </w:divBdr>
    </w:div>
    <w:div w:id="1438215127">
      <w:bodyDiv w:val="1"/>
      <w:marLeft w:val="0"/>
      <w:marRight w:val="0"/>
      <w:marTop w:val="0"/>
      <w:marBottom w:val="0"/>
      <w:divBdr>
        <w:top w:val="none" w:sz="0" w:space="0" w:color="auto"/>
        <w:left w:val="none" w:sz="0" w:space="0" w:color="auto"/>
        <w:bottom w:val="none" w:sz="0" w:space="0" w:color="auto"/>
        <w:right w:val="none" w:sz="0" w:space="0" w:color="auto"/>
      </w:divBdr>
    </w:div>
    <w:div w:id="1444569087">
      <w:bodyDiv w:val="1"/>
      <w:marLeft w:val="0"/>
      <w:marRight w:val="0"/>
      <w:marTop w:val="0"/>
      <w:marBottom w:val="0"/>
      <w:divBdr>
        <w:top w:val="none" w:sz="0" w:space="0" w:color="auto"/>
        <w:left w:val="none" w:sz="0" w:space="0" w:color="auto"/>
        <w:bottom w:val="none" w:sz="0" w:space="0" w:color="auto"/>
        <w:right w:val="none" w:sz="0" w:space="0" w:color="auto"/>
      </w:divBdr>
    </w:div>
    <w:div w:id="1451706356">
      <w:bodyDiv w:val="1"/>
      <w:marLeft w:val="0"/>
      <w:marRight w:val="0"/>
      <w:marTop w:val="0"/>
      <w:marBottom w:val="0"/>
      <w:divBdr>
        <w:top w:val="none" w:sz="0" w:space="0" w:color="auto"/>
        <w:left w:val="none" w:sz="0" w:space="0" w:color="auto"/>
        <w:bottom w:val="none" w:sz="0" w:space="0" w:color="auto"/>
        <w:right w:val="none" w:sz="0" w:space="0" w:color="auto"/>
      </w:divBdr>
    </w:div>
    <w:div w:id="1474981597">
      <w:bodyDiv w:val="1"/>
      <w:marLeft w:val="0"/>
      <w:marRight w:val="0"/>
      <w:marTop w:val="0"/>
      <w:marBottom w:val="0"/>
      <w:divBdr>
        <w:top w:val="none" w:sz="0" w:space="0" w:color="auto"/>
        <w:left w:val="none" w:sz="0" w:space="0" w:color="auto"/>
        <w:bottom w:val="none" w:sz="0" w:space="0" w:color="auto"/>
        <w:right w:val="none" w:sz="0" w:space="0" w:color="auto"/>
      </w:divBdr>
    </w:div>
    <w:div w:id="1477408143">
      <w:bodyDiv w:val="1"/>
      <w:marLeft w:val="0"/>
      <w:marRight w:val="0"/>
      <w:marTop w:val="0"/>
      <w:marBottom w:val="0"/>
      <w:divBdr>
        <w:top w:val="none" w:sz="0" w:space="0" w:color="auto"/>
        <w:left w:val="none" w:sz="0" w:space="0" w:color="auto"/>
        <w:bottom w:val="none" w:sz="0" w:space="0" w:color="auto"/>
        <w:right w:val="none" w:sz="0" w:space="0" w:color="auto"/>
      </w:divBdr>
    </w:div>
    <w:div w:id="1477918234">
      <w:bodyDiv w:val="1"/>
      <w:marLeft w:val="0"/>
      <w:marRight w:val="0"/>
      <w:marTop w:val="0"/>
      <w:marBottom w:val="0"/>
      <w:divBdr>
        <w:top w:val="none" w:sz="0" w:space="0" w:color="auto"/>
        <w:left w:val="none" w:sz="0" w:space="0" w:color="auto"/>
        <w:bottom w:val="none" w:sz="0" w:space="0" w:color="auto"/>
        <w:right w:val="none" w:sz="0" w:space="0" w:color="auto"/>
      </w:divBdr>
    </w:div>
    <w:div w:id="1483615275">
      <w:bodyDiv w:val="1"/>
      <w:marLeft w:val="0"/>
      <w:marRight w:val="0"/>
      <w:marTop w:val="0"/>
      <w:marBottom w:val="0"/>
      <w:divBdr>
        <w:top w:val="none" w:sz="0" w:space="0" w:color="auto"/>
        <w:left w:val="none" w:sz="0" w:space="0" w:color="auto"/>
        <w:bottom w:val="none" w:sz="0" w:space="0" w:color="auto"/>
        <w:right w:val="none" w:sz="0" w:space="0" w:color="auto"/>
      </w:divBdr>
      <w:divsChild>
        <w:div w:id="2119986873">
          <w:marLeft w:val="274"/>
          <w:marRight w:val="0"/>
          <w:marTop w:val="150"/>
          <w:marBottom w:val="0"/>
          <w:divBdr>
            <w:top w:val="none" w:sz="0" w:space="0" w:color="auto"/>
            <w:left w:val="none" w:sz="0" w:space="0" w:color="auto"/>
            <w:bottom w:val="none" w:sz="0" w:space="0" w:color="auto"/>
            <w:right w:val="none" w:sz="0" w:space="0" w:color="auto"/>
          </w:divBdr>
        </w:div>
      </w:divsChild>
    </w:div>
    <w:div w:id="1487821732">
      <w:bodyDiv w:val="1"/>
      <w:marLeft w:val="0"/>
      <w:marRight w:val="0"/>
      <w:marTop w:val="0"/>
      <w:marBottom w:val="0"/>
      <w:divBdr>
        <w:top w:val="none" w:sz="0" w:space="0" w:color="auto"/>
        <w:left w:val="none" w:sz="0" w:space="0" w:color="auto"/>
        <w:bottom w:val="none" w:sz="0" w:space="0" w:color="auto"/>
        <w:right w:val="none" w:sz="0" w:space="0" w:color="auto"/>
      </w:divBdr>
    </w:div>
    <w:div w:id="1499734045">
      <w:bodyDiv w:val="1"/>
      <w:marLeft w:val="0"/>
      <w:marRight w:val="0"/>
      <w:marTop w:val="0"/>
      <w:marBottom w:val="0"/>
      <w:divBdr>
        <w:top w:val="none" w:sz="0" w:space="0" w:color="auto"/>
        <w:left w:val="none" w:sz="0" w:space="0" w:color="auto"/>
        <w:bottom w:val="none" w:sz="0" w:space="0" w:color="auto"/>
        <w:right w:val="none" w:sz="0" w:space="0" w:color="auto"/>
      </w:divBdr>
    </w:div>
    <w:div w:id="1501308342">
      <w:bodyDiv w:val="1"/>
      <w:marLeft w:val="0"/>
      <w:marRight w:val="0"/>
      <w:marTop w:val="0"/>
      <w:marBottom w:val="0"/>
      <w:divBdr>
        <w:top w:val="none" w:sz="0" w:space="0" w:color="auto"/>
        <w:left w:val="none" w:sz="0" w:space="0" w:color="auto"/>
        <w:bottom w:val="none" w:sz="0" w:space="0" w:color="auto"/>
        <w:right w:val="none" w:sz="0" w:space="0" w:color="auto"/>
      </w:divBdr>
    </w:div>
    <w:div w:id="1530069831">
      <w:bodyDiv w:val="1"/>
      <w:marLeft w:val="0"/>
      <w:marRight w:val="0"/>
      <w:marTop w:val="0"/>
      <w:marBottom w:val="0"/>
      <w:divBdr>
        <w:top w:val="none" w:sz="0" w:space="0" w:color="auto"/>
        <w:left w:val="none" w:sz="0" w:space="0" w:color="auto"/>
        <w:bottom w:val="none" w:sz="0" w:space="0" w:color="auto"/>
        <w:right w:val="none" w:sz="0" w:space="0" w:color="auto"/>
      </w:divBdr>
    </w:div>
    <w:div w:id="1537280338">
      <w:bodyDiv w:val="1"/>
      <w:marLeft w:val="0"/>
      <w:marRight w:val="0"/>
      <w:marTop w:val="0"/>
      <w:marBottom w:val="0"/>
      <w:divBdr>
        <w:top w:val="none" w:sz="0" w:space="0" w:color="auto"/>
        <w:left w:val="none" w:sz="0" w:space="0" w:color="auto"/>
        <w:bottom w:val="none" w:sz="0" w:space="0" w:color="auto"/>
        <w:right w:val="none" w:sz="0" w:space="0" w:color="auto"/>
      </w:divBdr>
    </w:div>
    <w:div w:id="1549075732">
      <w:bodyDiv w:val="1"/>
      <w:marLeft w:val="0"/>
      <w:marRight w:val="0"/>
      <w:marTop w:val="0"/>
      <w:marBottom w:val="0"/>
      <w:divBdr>
        <w:top w:val="none" w:sz="0" w:space="0" w:color="auto"/>
        <w:left w:val="none" w:sz="0" w:space="0" w:color="auto"/>
        <w:bottom w:val="none" w:sz="0" w:space="0" w:color="auto"/>
        <w:right w:val="none" w:sz="0" w:space="0" w:color="auto"/>
      </w:divBdr>
    </w:div>
    <w:div w:id="1557081664">
      <w:bodyDiv w:val="1"/>
      <w:marLeft w:val="0"/>
      <w:marRight w:val="0"/>
      <w:marTop w:val="0"/>
      <w:marBottom w:val="0"/>
      <w:divBdr>
        <w:top w:val="none" w:sz="0" w:space="0" w:color="auto"/>
        <w:left w:val="none" w:sz="0" w:space="0" w:color="auto"/>
        <w:bottom w:val="none" w:sz="0" w:space="0" w:color="auto"/>
        <w:right w:val="none" w:sz="0" w:space="0" w:color="auto"/>
      </w:divBdr>
    </w:div>
    <w:div w:id="1578131881">
      <w:bodyDiv w:val="1"/>
      <w:marLeft w:val="0"/>
      <w:marRight w:val="0"/>
      <w:marTop w:val="0"/>
      <w:marBottom w:val="0"/>
      <w:divBdr>
        <w:top w:val="none" w:sz="0" w:space="0" w:color="auto"/>
        <w:left w:val="none" w:sz="0" w:space="0" w:color="auto"/>
        <w:bottom w:val="none" w:sz="0" w:space="0" w:color="auto"/>
        <w:right w:val="none" w:sz="0" w:space="0" w:color="auto"/>
      </w:divBdr>
    </w:div>
    <w:div w:id="1583490601">
      <w:bodyDiv w:val="1"/>
      <w:marLeft w:val="0"/>
      <w:marRight w:val="0"/>
      <w:marTop w:val="0"/>
      <w:marBottom w:val="0"/>
      <w:divBdr>
        <w:top w:val="none" w:sz="0" w:space="0" w:color="auto"/>
        <w:left w:val="none" w:sz="0" w:space="0" w:color="auto"/>
        <w:bottom w:val="none" w:sz="0" w:space="0" w:color="auto"/>
        <w:right w:val="none" w:sz="0" w:space="0" w:color="auto"/>
      </w:divBdr>
    </w:div>
    <w:div w:id="1617441230">
      <w:bodyDiv w:val="1"/>
      <w:marLeft w:val="0"/>
      <w:marRight w:val="0"/>
      <w:marTop w:val="0"/>
      <w:marBottom w:val="0"/>
      <w:divBdr>
        <w:top w:val="none" w:sz="0" w:space="0" w:color="auto"/>
        <w:left w:val="none" w:sz="0" w:space="0" w:color="auto"/>
        <w:bottom w:val="none" w:sz="0" w:space="0" w:color="auto"/>
        <w:right w:val="none" w:sz="0" w:space="0" w:color="auto"/>
      </w:divBdr>
      <w:divsChild>
        <w:div w:id="46995240">
          <w:marLeft w:val="274"/>
          <w:marRight w:val="0"/>
          <w:marTop w:val="150"/>
          <w:marBottom w:val="0"/>
          <w:divBdr>
            <w:top w:val="none" w:sz="0" w:space="0" w:color="auto"/>
            <w:left w:val="none" w:sz="0" w:space="0" w:color="auto"/>
            <w:bottom w:val="none" w:sz="0" w:space="0" w:color="auto"/>
            <w:right w:val="none" w:sz="0" w:space="0" w:color="auto"/>
          </w:divBdr>
        </w:div>
        <w:div w:id="316230233">
          <w:marLeft w:val="274"/>
          <w:marRight w:val="0"/>
          <w:marTop w:val="150"/>
          <w:marBottom w:val="0"/>
          <w:divBdr>
            <w:top w:val="none" w:sz="0" w:space="0" w:color="auto"/>
            <w:left w:val="none" w:sz="0" w:space="0" w:color="auto"/>
            <w:bottom w:val="none" w:sz="0" w:space="0" w:color="auto"/>
            <w:right w:val="none" w:sz="0" w:space="0" w:color="auto"/>
          </w:divBdr>
        </w:div>
        <w:div w:id="359400818">
          <w:marLeft w:val="274"/>
          <w:marRight w:val="0"/>
          <w:marTop w:val="150"/>
          <w:marBottom w:val="0"/>
          <w:divBdr>
            <w:top w:val="none" w:sz="0" w:space="0" w:color="auto"/>
            <w:left w:val="none" w:sz="0" w:space="0" w:color="auto"/>
            <w:bottom w:val="none" w:sz="0" w:space="0" w:color="auto"/>
            <w:right w:val="none" w:sz="0" w:space="0" w:color="auto"/>
          </w:divBdr>
        </w:div>
        <w:div w:id="957759904">
          <w:marLeft w:val="274"/>
          <w:marRight w:val="0"/>
          <w:marTop w:val="150"/>
          <w:marBottom w:val="0"/>
          <w:divBdr>
            <w:top w:val="none" w:sz="0" w:space="0" w:color="auto"/>
            <w:left w:val="none" w:sz="0" w:space="0" w:color="auto"/>
            <w:bottom w:val="none" w:sz="0" w:space="0" w:color="auto"/>
            <w:right w:val="none" w:sz="0" w:space="0" w:color="auto"/>
          </w:divBdr>
        </w:div>
        <w:div w:id="1408188140">
          <w:marLeft w:val="274"/>
          <w:marRight w:val="0"/>
          <w:marTop w:val="150"/>
          <w:marBottom w:val="0"/>
          <w:divBdr>
            <w:top w:val="none" w:sz="0" w:space="0" w:color="auto"/>
            <w:left w:val="none" w:sz="0" w:space="0" w:color="auto"/>
            <w:bottom w:val="none" w:sz="0" w:space="0" w:color="auto"/>
            <w:right w:val="none" w:sz="0" w:space="0" w:color="auto"/>
          </w:divBdr>
        </w:div>
        <w:div w:id="2109570794">
          <w:marLeft w:val="274"/>
          <w:marRight w:val="0"/>
          <w:marTop w:val="150"/>
          <w:marBottom w:val="0"/>
          <w:divBdr>
            <w:top w:val="none" w:sz="0" w:space="0" w:color="auto"/>
            <w:left w:val="none" w:sz="0" w:space="0" w:color="auto"/>
            <w:bottom w:val="none" w:sz="0" w:space="0" w:color="auto"/>
            <w:right w:val="none" w:sz="0" w:space="0" w:color="auto"/>
          </w:divBdr>
        </w:div>
      </w:divsChild>
    </w:div>
    <w:div w:id="1652051762">
      <w:bodyDiv w:val="1"/>
      <w:marLeft w:val="0"/>
      <w:marRight w:val="0"/>
      <w:marTop w:val="0"/>
      <w:marBottom w:val="0"/>
      <w:divBdr>
        <w:top w:val="none" w:sz="0" w:space="0" w:color="auto"/>
        <w:left w:val="none" w:sz="0" w:space="0" w:color="auto"/>
        <w:bottom w:val="none" w:sz="0" w:space="0" w:color="auto"/>
        <w:right w:val="none" w:sz="0" w:space="0" w:color="auto"/>
      </w:divBdr>
    </w:div>
    <w:div w:id="1664358425">
      <w:bodyDiv w:val="1"/>
      <w:marLeft w:val="0"/>
      <w:marRight w:val="0"/>
      <w:marTop w:val="0"/>
      <w:marBottom w:val="0"/>
      <w:divBdr>
        <w:top w:val="none" w:sz="0" w:space="0" w:color="auto"/>
        <w:left w:val="none" w:sz="0" w:space="0" w:color="auto"/>
        <w:bottom w:val="none" w:sz="0" w:space="0" w:color="auto"/>
        <w:right w:val="none" w:sz="0" w:space="0" w:color="auto"/>
      </w:divBdr>
    </w:div>
    <w:div w:id="1674529952">
      <w:bodyDiv w:val="1"/>
      <w:marLeft w:val="0"/>
      <w:marRight w:val="0"/>
      <w:marTop w:val="0"/>
      <w:marBottom w:val="0"/>
      <w:divBdr>
        <w:top w:val="none" w:sz="0" w:space="0" w:color="auto"/>
        <w:left w:val="none" w:sz="0" w:space="0" w:color="auto"/>
        <w:bottom w:val="none" w:sz="0" w:space="0" w:color="auto"/>
        <w:right w:val="none" w:sz="0" w:space="0" w:color="auto"/>
      </w:divBdr>
    </w:div>
    <w:div w:id="1679887661">
      <w:bodyDiv w:val="1"/>
      <w:marLeft w:val="0"/>
      <w:marRight w:val="0"/>
      <w:marTop w:val="0"/>
      <w:marBottom w:val="0"/>
      <w:divBdr>
        <w:top w:val="none" w:sz="0" w:space="0" w:color="auto"/>
        <w:left w:val="none" w:sz="0" w:space="0" w:color="auto"/>
        <w:bottom w:val="none" w:sz="0" w:space="0" w:color="auto"/>
        <w:right w:val="none" w:sz="0" w:space="0" w:color="auto"/>
      </w:divBdr>
    </w:div>
    <w:div w:id="1694764402">
      <w:bodyDiv w:val="1"/>
      <w:marLeft w:val="0"/>
      <w:marRight w:val="0"/>
      <w:marTop w:val="0"/>
      <w:marBottom w:val="0"/>
      <w:divBdr>
        <w:top w:val="none" w:sz="0" w:space="0" w:color="auto"/>
        <w:left w:val="none" w:sz="0" w:space="0" w:color="auto"/>
        <w:bottom w:val="none" w:sz="0" w:space="0" w:color="auto"/>
        <w:right w:val="none" w:sz="0" w:space="0" w:color="auto"/>
      </w:divBdr>
    </w:div>
    <w:div w:id="1703048310">
      <w:bodyDiv w:val="1"/>
      <w:marLeft w:val="0"/>
      <w:marRight w:val="0"/>
      <w:marTop w:val="0"/>
      <w:marBottom w:val="0"/>
      <w:divBdr>
        <w:top w:val="none" w:sz="0" w:space="0" w:color="auto"/>
        <w:left w:val="none" w:sz="0" w:space="0" w:color="auto"/>
        <w:bottom w:val="none" w:sz="0" w:space="0" w:color="auto"/>
        <w:right w:val="none" w:sz="0" w:space="0" w:color="auto"/>
      </w:divBdr>
    </w:div>
    <w:div w:id="1703357556">
      <w:bodyDiv w:val="1"/>
      <w:marLeft w:val="0"/>
      <w:marRight w:val="0"/>
      <w:marTop w:val="0"/>
      <w:marBottom w:val="0"/>
      <w:divBdr>
        <w:top w:val="none" w:sz="0" w:space="0" w:color="auto"/>
        <w:left w:val="none" w:sz="0" w:space="0" w:color="auto"/>
        <w:bottom w:val="none" w:sz="0" w:space="0" w:color="auto"/>
        <w:right w:val="none" w:sz="0" w:space="0" w:color="auto"/>
      </w:divBdr>
    </w:div>
    <w:div w:id="1725566941">
      <w:bodyDiv w:val="1"/>
      <w:marLeft w:val="0"/>
      <w:marRight w:val="0"/>
      <w:marTop w:val="0"/>
      <w:marBottom w:val="0"/>
      <w:divBdr>
        <w:top w:val="none" w:sz="0" w:space="0" w:color="auto"/>
        <w:left w:val="none" w:sz="0" w:space="0" w:color="auto"/>
        <w:bottom w:val="none" w:sz="0" w:space="0" w:color="auto"/>
        <w:right w:val="none" w:sz="0" w:space="0" w:color="auto"/>
      </w:divBdr>
      <w:divsChild>
        <w:div w:id="1662081700">
          <w:marLeft w:val="274"/>
          <w:marRight w:val="0"/>
          <w:marTop w:val="150"/>
          <w:marBottom w:val="0"/>
          <w:divBdr>
            <w:top w:val="none" w:sz="0" w:space="0" w:color="auto"/>
            <w:left w:val="none" w:sz="0" w:space="0" w:color="auto"/>
            <w:bottom w:val="none" w:sz="0" w:space="0" w:color="auto"/>
            <w:right w:val="none" w:sz="0" w:space="0" w:color="auto"/>
          </w:divBdr>
        </w:div>
      </w:divsChild>
    </w:div>
    <w:div w:id="1730498904">
      <w:bodyDiv w:val="1"/>
      <w:marLeft w:val="0"/>
      <w:marRight w:val="0"/>
      <w:marTop w:val="0"/>
      <w:marBottom w:val="0"/>
      <w:divBdr>
        <w:top w:val="none" w:sz="0" w:space="0" w:color="auto"/>
        <w:left w:val="none" w:sz="0" w:space="0" w:color="auto"/>
        <w:bottom w:val="none" w:sz="0" w:space="0" w:color="auto"/>
        <w:right w:val="none" w:sz="0" w:space="0" w:color="auto"/>
      </w:divBdr>
      <w:divsChild>
        <w:div w:id="801271445">
          <w:marLeft w:val="274"/>
          <w:marRight w:val="0"/>
          <w:marTop w:val="150"/>
          <w:marBottom w:val="0"/>
          <w:divBdr>
            <w:top w:val="none" w:sz="0" w:space="0" w:color="auto"/>
            <w:left w:val="none" w:sz="0" w:space="0" w:color="auto"/>
            <w:bottom w:val="none" w:sz="0" w:space="0" w:color="auto"/>
            <w:right w:val="none" w:sz="0" w:space="0" w:color="auto"/>
          </w:divBdr>
        </w:div>
      </w:divsChild>
    </w:div>
    <w:div w:id="1741292921">
      <w:bodyDiv w:val="1"/>
      <w:marLeft w:val="0"/>
      <w:marRight w:val="0"/>
      <w:marTop w:val="0"/>
      <w:marBottom w:val="0"/>
      <w:divBdr>
        <w:top w:val="none" w:sz="0" w:space="0" w:color="auto"/>
        <w:left w:val="none" w:sz="0" w:space="0" w:color="auto"/>
        <w:bottom w:val="none" w:sz="0" w:space="0" w:color="auto"/>
        <w:right w:val="none" w:sz="0" w:space="0" w:color="auto"/>
      </w:divBdr>
      <w:divsChild>
        <w:div w:id="798687678">
          <w:marLeft w:val="274"/>
          <w:marRight w:val="0"/>
          <w:marTop w:val="150"/>
          <w:marBottom w:val="0"/>
          <w:divBdr>
            <w:top w:val="none" w:sz="0" w:space="0" w:color="auto"/>
            <w:left w:val="none" w:sz="0" w:space="0" w:color="auto"/>
            <w:bottom w:val="none" w:sz="0" w:space="0" w:color="auto"/>
            <w:right w:val="none" w:sz="0" w:space="0" w:color="auto"/>
          </w:divBdr>
        </w:div>
      </w:divsChild>
    </w:div>
    <w:div w:id="1746029106">
      <w:bodyDiv w:val="1"/>
      <w:marLeft w:val="0"/>
      <w:marRight w:val="0"/>
      <w:marTop w:val="0"/>
      <w:marBottom w:val="0"/>
      <w:divBdr>
        <w:top w:val="none" w:sz="0" w:space="0" w:color="auto"/>
        <w:left w:val="none" w:sz="0" w:space="0" w:color="auto"/>
        <w:bottom w:val="none" w:sz="0" w:space="0" w:color="auto"/>
        <w:right w:val="none" w:sz="0" w:space="0" w:color="auto"/>
      </w:divBdr>
    </w:div>
    <w:div w:id="1759905336">
      <w:bodyDiv w:val="1"/>
      <w:marLeft w:val="0"/>
      <w:marRight w:val="0"/>
      <w:marTop w:val="0"/>
      <w:marBottom w:val="0"/>
      <w:divBdr>
        <w:top w:val="none" w:sz="0" w:space="0" w:color="auto"/>
        <w:left w:val="none" w:sz="0" w:space="0" w:color="auto"/>
        <w:bottom w:val="none" w:sz="0" w:space="0" w:color="auto"/>
        <w:right w:val="none" w:sz="0" w:space="0" w:color="auto"/>
      </w:divBdr>
    </w:div>
    <w:div w:id="1786268035">
      <w:bodyDiv w:val="1"/>
      <w:marLeft w:val="0"/>
      <w:marRight w:val="0"/>
      <w:marTop w:val="0"/>
      <w:marBottom w:val="0"/>
      <w:divBdr>
        <w:top w:val="none" w:sz="0" w:space="0" w:color="auto"/>
        <w:left w:val="none" w:sz="0" w:space="0" w:color="auto"/>
        <w:bottom w:val="none" w:sz="0" w:space="0" w:color="auto"/>
        <w:right w:val="none" w:sz="0" w:space="0" w:color="auto"/>
      </w:divBdr>
    </w:div>
    <w:div w:id="1808668829">
      <w:bodyDiv w:val="1"/>
      <w:marLeft w:val="0"/>
      <w:marRight w:val="0"/>
      <w:marTop w:val="0"/>
      <w:marBottom w:val="0"/>
      <w:divBdr>
        <w:top w:val="none" w:sz="0" w:space="0" w:color="auto"/>
        <w:left w:val="none" w:sz="0" w:space="0" w:color="auto"/>
        <w:bottom w:val="none" w:sz="0" w:space="0" w:color="auto"/>
        <w:right w:val="none" w:sz="0" w:space="0" w:color="auto"/>
      </w:divBdr>
    </w:div>
    <w:div w:id="1818961408">
      <w:bodyDiv w:val="1"/>
      <w:marLeft w:val="0"/>
      <w:marRight w:val="0"/>
      <w:marTop w:val="0"/>
      <w:marBottom w:val="0"/>
      <w:divBdr>
        <w:top w:val="none" w:sz="0" w:space="0" w:color="auto"/>
        <w:left w:val="none" w:sz="0" w:space="0" w:color="auto"/>
        <w:bottom w:val="none" w:sz="0" w:space="0" w:color="auto"/>
        <w:right w:val="none" w:sz="0" w:space="0" w:color="auto"/>
      </w:divBdr>
      <w:divsChild>
        <w:div w:id="17170631">
          <w:marLeft w:val="274"/>
          <w:marRight w:val="0"/>
          <w:marTop w:val="150"/>
          <w:marBottom w:val="0"/>
          <w:divBdr>
            <w:top w:val="none" w:sz="0" w:space="0" w:color="auto"/>
            <w:left w:val="none" w:sz="0" w:space="0" w:color="auto"/>
            <w:bottom w:val="none" w:sz="0" w:space="0" w:color="auto"/>
            <w:right w:val="none" w:sz="0" w:space="0" w:color="auto"/>
          </w:divBdr>
        </w:div>
        <w:div w:id="426922259">
          <w:marLeft w:val="274"/>
          <w:marRight w:val="0"/>
          <w:marTop w:val="150"/>
          <w:marBottom w:val="0"/>
          <w:divBdr>
            <w:top w:val="none" w:sz="0" w:space="0" w:color="auto"/>
            <w:left w:val="none" w:sz="0" w:space="0" w:color="auto"/>
            <w:bottom w:val="none" w:sz="0" w:space="0" w:color="auto"/>
            <w:right w:val="none" w:sz="0" w:space="0" w:color="auto"/>
          </w:divBdr>
        </w:div>
        <w:div w:id="835877519">
          <w:marLeft w:val="274"/>
          <w:marRight w:val="0"/>
          <w:marTop w:val="150"/>
          <w:marBottom w:val="0"/>
          <w:divBdr>
            <w:top w:val="none" w:sz="0" w:space="0" w:color="auto"/>
            <w:left w:val="none" w:sz="0" w:space="0" w:color="auto"/>
            <w:bottom w:val="none" w:sz="0" w:space="0" w:color="auto"/>
            <w:right w:val="none" w:sz="0" w:space="0" w:color="auto"/>
          </w:divBdr>
        </w:div>
      </w:divsChild>
    </w:div>
    <w:div w:id="1825587536">
      <w:bodyDiv w:val="1"/>
      <w:marLeft w:val="0"/>
      <w:marRight w:val="0"/>
      <w:marTop w:val="0"/>
      <w:marBottom w:val="0"/>
      <w:divBdr>
        <w:top w:val="none" w:sz="0" w:space="0" w:color="auto"/>
        <w:left w:val="none" w:sz="0" w:space="0" w:color="auto"/>
        <w:bottom w:val="none" w:sz="0" w:space="0" w:color="auto"/>
        <w:right w:val="none" w:sz="0" w:space="0" w:color="auto"/>
      </w:divBdr>
    </w:div>
    <w:div w:id="1831212330">
      <w:bodyDiv w:val="1"/>
      <w:marLeft w:val="0"/>
      <w:marRight w:val="0"/>
      <w:marTop w:val="0"/>
      <w:marBottom w:val="0"/>
      <w:divBdr>
        <w:top w:val="none" w:sz="0" w:space="0" w:color="auto"/>
        <w:left w:val="none" w:sz="0" w:space="0" w:color="auto"/>
        <w:bottom w:val="none" w:sz="0" w:space="0" w:color="auto"/>
        <w:right w:val="none" w:sz="0" w:space="0" w:color="auto"/>
      </w:divBdr>
    </w:div>
    <w:div w:id="1839299396">
      <w:bodyDiv w:val="1"/>
      <w:marLeft w:val="0"/>
      <w:marRight w:val="0"/>
      <w:marTop w:val="0"/>
      <w:marBottom w:val="0"/>
      <w:divBdr>
        <w:top w:val="none" w:sz="0" w:space="0" w:color="auto"/>
        <w:left w:val="none" w:sz="0" w:space="0" w:color="auto"/>
        <w:bottom w:val="none" w:sz="0" w:space="0" w:color="auto"/>
        <w:right w:val="none" w:sz="0" w:space="0" w:color="auto"/>
      </w:divBdr>
    </w:div>
    <w:div w:id="1844317822">
      <w:bodyDiv w:val="1"/>
      <w:marLeft w:val="0"/>
      <w:marRight w:val="0"/>
      <w:marTop w:val="0"/>
      <w:marBottom w:val="0"/>
      <w:divBdr>
        <w:top w:val="none" w:sz="0" w:space="0" w:color="auto"/>
        <w:left w:val="none" w:sz="0" w:space="0" w:color="auto"/>
        <w:bottom w:val="none" w:sz="0" w:space="0" w:color="auto"/>
        <w:right w:val="none" w:sz="0" w:space="0" w:color="auto"/>
      </w:divBdr>
    </w:div>
    <w:div w:id="1896774494">
      <w:bodyDiv w:val="1"/>
      <w:marLeft w:val="0"/>
      <w:marRight w:val="0"/>
      <w:marTop w:val="0"/>
      <w:marBottom w:val="0"/>
      <w:divBdr>
        <w:top w:val="none" w:sz="0" w:space="0" w:color="auto"/>
        <w:left w:val="none" w:sz="0" w:space="0" w:color="auto"/>
        <w:bottom w:val="none" w:sz="0" w:space="0" w:color="auto"/>
        <w:right w:val="none" w:sz="0" w:space="0" w:color="auto"/>
      </w:divBdr>
    </w:div>
    <w:div w:id="1917858790">
      <w:bodyDiv w:val="1"/>
      <w:marLeft w:val="0"/>
      <w:marRight w:val="0"/>
      <w:marTop w:val="0"/>
      <w:marBottom w:val="0"/>
      <w:divBdr>
        <w:top w:val="none" w:sz="0" w:space="0" w:color="auto"/>
        <w:left w:val="none" w:sz="0" w:space="0" w:color="auto"/>
        <w:bottom w:val="none" w:sz="0" w:space="0" w:color="auto"/>
        <w:right w:val="none" w:sz="0" w:space="0" w:color="auto"/>
      </w:divBdr>
    </w:div>
    <w:div w:id="1919513294">
      <w:bodyDiv w:val="1"/>
      <w:marLeft w:val="0"/>
      <w:marRight w:val="0"/>
      <w:marTop w:val="0"/>
      <w:marBottom w:val="0"/>
      <w:divBdr>
        <w:top w:val="none" w:sz="0" w:space="0" w:color="auto"/>
        <w:left w:val="none" w:sz="0" w:space="0" w:color="auto"/>
        <w:bottom w:val="none" w:sz="0" w:space="0" w:color="auto"/>
        <w:right w:val="none" w:sz="0" w:space="0" w:color="auto"/>
      </w:divBdr>
    </w:div>
    <w:div w:id="1934388891">
      <w:bodyDiv w:val="1"/>
      <w:marLeft w:val="0"/>
      <w:marRight w:val="0"/>
      <w:marTop w:val="0"/>
      <w:marBottom w:val="0"/>
      <w:divBdr>
        <w:top w:val="none" w:sz="0" w:space="0" w:color="auto"/>
        <w:left w:val="none" w:sz="0" w:space="0" w:color="auto"/>
        <w:bottom w:val="none" w:sz="0" w:space="0" w:color="auto"/>
        <w:right w:val="none" w:sz="0" w:space="0" w:color="auto"/>
      </w:divBdr>
    </w:div>
    <w:div w:id="1973628236">
      <w:bodyDiv w:val="1"/>
      <w:marLeft w:val="0"/>
      <w:marRight w:val="0"/>
      <w:marTop w:val="0"/>
      <w:marBottom w:val="0"/>
      <w:divBdr>
        <w:top w:val="none" w:sz="0" w:space="0" w:color="auto"/>
        <w:left w:val="none" w:sz="0" w:space="0" w:color="auto"/>
        <w:bottom w:val="none" w:sz="0" w:space="0" w:color="auto"/>
        <w:right w:val="none" w:sz="0" w:space="0" w:color="auto"/>
      </w:divBdr>
    </w:div>
    <w:div w:id="1989631431">
      <w:bodyDiv w:val="1"/>
      <w:marLeft w:val="0"/>
      <w:marRight w:val="0"/>
      <w:marTop w:val="0"/>
      <w:marBottom w:val="0"/>
      <w:divBdr>
        <w:top w:val="none" w:sz="0" w:space="0" w:color="auto"/>
        <w:left w:val="none" w:sz="0" w:space="0" w:color="auto"/>
        <w:bottom w:val="none" w:sz="0" w:space="0" w:color="auto"/>
        <w:right w:val="none" w:sz="0" w:space="0" w:color="auto"/>
      </w:divBdr>
    </w:div>
    <w:div w:id="1994288253">
      <w:bodyDiv w:val="1"/>
      <w:marLeft w:val="0"/>
      <w:marRight w:val="0"/>
      <w:marTop w:val="0"/>
      <w:marBottom w:val="0"/>
      <w:divBdr>
        <w:top w:val="none" w:sz="0" w:space="0" w:color="auto"/>
        <w:left w:val="none" w:sz="0" w:space="0" w:color="auto"/>
        <w:bottom w:val="none" w:sz="0" w:space="0" w:color="auto"/>
        <w:right w:val="none" w:sz="0" w:space="0" w:color="auto"/>
      </w:divBdr>
    </w:div>
    <w:div w:id="2010788333">
      <w:bodyDiv w:val="1"/>
      <w:marLeft w:val="0"/>
      <w:marRight w:val="0"/>
      <w:marTop w:val="0"/>
      <w:marBottom w:val="0"/>
      <w:divBdr>
        <w:top w:val="none" w:sz="0" w:space="0" w:color="auto"/>
        <w:left w:val="none" w:sz="0" w:space="0" w:color="auto"/>
        <w:bottom w:val="none" w:sz="0" w:space="0" w:color="auto"/>
        <w:right w:val="none" w:sz="0" w:space="0" w:color="auto"/>
      </w:divBdr>
    </w:div>
    <w:div w:id="2032685897">
      <w:bodyDiv w:val="1"/>
      <w:marLeft w:val="0"/>
      <w:marRight w:val="0"/>
      <w:marTop w:val="0"/>
      <w:marBottom w:val="0"/>
      <w:divBdr>
        <w:top w:val="none" w:sz="0" w:space="0" w:color="auto"/>
        <w:left w:val="none" w:sz="0" w:space="0" w:color="auto"/>
        <w:bottom w:val="none" w:sz="0" w:space="0" w:color="auto"/>
        <w:right w:val="none" w:sz="0" w:space="0" w:color="auto"/>
      </w:divBdr>
    </w:div>
    <w:div w:id="2044817826">
      <w:bodyDiv w:val="1"/>
      <w:marLeft w:val="0"/>
      <w:marRight w:val="0"/>
      <w:marTop w:val="0"/>
      <w:marBottom w:val="0"/>
      <w:divBdr>
        <w:top w:val="none" w:sz="0" w:space="0" w:color="auto"/>
        <w:left w:val="none" w:sz="0" w:space="0" w:color="auto"/>
        <w:bottom w:val="none" w:sz="0" w:space="0" w:color="auto"/>
        <w:right w:val="none" w:sz="0" w:space="0" w:color="auto"/>
      </w:divBdr>
    </w:div>
    <w:div w:id="2060124449">
      <w:bodyDiv w:val="1"/>
      <w:marLeft w:val="0"/>
      <w:marRight w:val="0"/>
      <w:marTop w:val="0"/>
      <w:marBottom w:val="0"/>
      <w:divBdr>
        <w:top w:val="none" w:sz="0" w:space="0" w:color="auto"/>
        <w:left w:val="none" w:sz="0" w:space="0" w:color="auto"/>
        <w:bottom w:val="none" w:sz="0" w:space="0" w:color="auto"/>
        <w:right w:val="none" w:sz="0" w:space="0" w:color="auto"/>
      </w:divBdr>
    </w:div>
    <w:div w:id="2068457591">
      <w:bodyDiv w:val="1"/>
      <w:marLeft w:val="0"/>
      <w:marRight w:val="0"/>
      <w:marTop w:val="0"/>
      <w:marBottom w:val="0"/>
      <w:divBdr>
        <w:top w:val="none" w:sz="0" w:space="0" w:color="auto"/>
        <w:left w:val="none" w:sz="0" w:space="0" w:color="auto"/>
        <w:bottom w:val="none" w:sz="0" w:space="0" w:color="auto"/>
        <w:right w:val="none" w:sz="0" w:space="0" w:color="auto"/>
      </w:divBdr>
    </w:div>
    <w:div w:id="2074041863">
      <w:bodyDiv w:val="1"/>
      <w:marLeft w:val="0"/>
      <w:marRight w:val="0"/>
      <w:marTop w:val="0"/>
      <w:marBottom w:val="0"/>
      <w:divBdr>
        <w:top w:val="none" w:sz="0" w:space="0" w:color="auto"/>
        <w:left w:val="none" w:sz="0" w:space="0" w:color="auto"/>
        <w:bottom w:val="none" w:sz="0" w:space="0" w:color="auto"/>
        <w:right w:val="none" w:sz="0" w:space="0" w:color="auto"/>
      </w:divBdr>
    </w:div>
    <w:div w:id="2077584008">
      <w:bodyDiv w:val="1"/>
      <w:marLeft w:val="0"/>
      <w:marRight w:val="0"/>
      <w:marTop w:val="0"/>
      <w:marBottom w:val="0"/>
      <w:divBdr>
        <w:top w:val="none" w:sz="0" w:space="0" w:color="auto"/>
        <w:left w:val="none" w:sz="0" w:space="0" w:color="auto"/>
        <w:bottom w:val="none" w:sz="0" w:space="0" w:color="auto"/>
        <w:right w:val="none" w:sz="0" w:space="0" w:color="auto"/>
      </w:divBdr>
    </w:div>
    <w:div w:id="2086877279">
      <w:bodyDiv w:val="1"/>
      <w:marLeft w:val="0"/>
      <w:marRight w:val="0"/>
      <w:marTop w:val="0"/>
      <w:marBottom w:val="0"/>
      <w:divBdr>
        <w:top w:val="none" w:sz="0" w:space="0" w:color="auto"/>
        <w:left w:val="none" w:sz="0" w:space="0" w:color="auto"/>
        <w:bottom w:val="none" w:sz="0" w:space="0" w:color="auto"/>
        <w:right w:val="none" w:sz="0" w:space="0" w:color="auto"/>
      </w:divBdr>
    </w:div>
    <w:div w:id="2093315234">
      <w:bodyDiv w:val="1"/>
      <w:marLeft w:val="0"/>
      <w:marRight w:val="0"/>
      <w:marTop w:val="0"/>
      <w:marBottom w:val="0"/>
      <w:divBdr>
        <w:top w:val="none" w:sz="0" w:space="0" w:color="auto"/>
        <w:left w:val="none" w:sz="0" w:space="0" w:color="auto"/>
        <w:bottom w:val="none" w:sz="0" w:space="0" w:color="auto"/>
        <w:right w:val="none" w:sz="0" w:space="0" w:color="auto"/>
      </w:divBdr>
    </w:div>
    <w:div w:id="2143763451">
      <w:bodyDiv w:val="1"/>
      <w:marLeft w:val="0"/>
      <w:marRight w:val="0"/>
      <w:marTop w:val="0"/>
      <w:marBottom w:val="0"/>
      <w:divBdr>
        <w:top w:val="none" w:sz="0" w:space="0" w:color="auto"/>
        <w:left w:val="none" w:sz="0" w:space="0" w:color="auto"/>
        <w:bottom w:val="none" w:sz="0" w:space="0" w:color="auto"/>
        <w:right w:val="none" w:sz="0" w:space="0" w:color="auto"/>
      </w:divBdr>
      <w:divsChild>
        <w:div w:id="190725217">
          <w:marLeft w:val="274"/>
          <w:marRight w:val="0"/>
          <w:marTop w:val="15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hart" Target="charts/chart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yperlink" Target="https://linkprotect.cudasvc.com/url?a=http%3a%2f%2fwww.disciplinewealth.com%2fdisclosures&amp;c=E,1,HcV9huHYL-6DPTSHWBP7NEXPHq0H-WSXCAE0qYJppVwK53m1mzm0Fy0iSZiL5CgTY015uSUYK7CLjro0z2KWxV9SbXRfxPcgg_vBMmXGr-OkHekXmEMe&amp;typo=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ln w="12700">
                  <a:noFill/>
                </a:ln>
                <a:solidFill>
                  <a:srgbClr val="3B3B3B"/>
                </a:solidFill>
                <a:latin typeface="Avenir Next LT Pro Light" panose="020B0304020202020204" pitchFamily="34" charset="0"/>
                <a:ea typeface="+mn-ea"/>
                <a:cs typeface="+mn-cs"/>
              </a:defRPr>
            </a:pPr>
            <a:r>
              <a:rPr lang="en-US" sz="1600" b="1" i="0" baseline="0">
                <a:solidFill>
                  <a:srgbClr val="3B3B3B"/>
                </a:solidFill>
                <a:effectLst/>
                <a:latin typeface="Avenir Next LT Pro Light" panose="020B0304020202020204" pitchFamily="34" charset="0"/>
                <a:ea typeface="Source Sans Pro" panose="020B0503030403020204" pitchFamily="34" charset="0"/>
              </a:rPr>
              <a:t>PERIODIC</a:t>
            </a:r>
            <a:r>
              <a:rPr lang="en-US" sz="1600" b="0" i="0" baseline="0">
                <a:solidFill>
                  <a:srgbClr val="3B3B3B"/>
                </a:solidFill>
                <a:effectLst/>
                <a:latin typeface="Avenir Next LT Pro Light" panose="020B0304020202020204" pitchFamily="34" charset="0"/>
                <a:ea typeface="Source Sans Pro" panose="020B0503030403020204" pitchFamily="34" charset="0"/>
              </a:rPr>
              <a:t> </a:t>
            </a:r>
            <a:r>
              <a:rPr lang="en-US" sz="1600" b="1" i="0" baseline="0">
                <a:solidFill>
                  <a:srgbClr val="3B3B3B"/>
                </a:solidFill>
                <a:effectLst/>
                <a:latin typeface="Avenir Next LT Pro Light" panose="020B0304020202020204" pitchFamily="34" charset="0"/>
                <a:ea typeface="Source Sans Pro" panose="020B0503030403020204" pitchFamily="34" charset="0"/>
              </a:rPr>
              <a:t>RETURNS</a:t>
            </a:r>
            <a:endParaRPr lang="en-US" sz="1600">
              <a:solidFill>
                <a:srgbClr val="3B3B3B"/>
              </a:solidFill>
              <a:effectLst/>
              <a:latin typeface="Avenir Next LT Pro Light" panose="020B0304020202020204" pitchFamily="34" charset="0"/>
              <a:ea typeface="Source Sans Pro" panose="020B0503030403020204" pitchFamily="34" charset="0"/>
            </a:endParaRPr>
          </a:p>
          <a:p>
            <a:pPr>
              <a:defRPr>
                <a:solidFill>
                  <a:srgbClr val="3B3B3B"/>
                </a:solidFill>
                <a:latin typeface="Avenir Next LT Pro Light" panose="020B0304020202020204" pitchFamily="34" charset="0"/>
              </a:defRPr>
            </a:pPr>
            <a:r>
              <a:rPr lang="en-US" sz="1100" b="1" i="0" cap="all" baseline="0">
                <a:solidFill>
                  <a:srgbClr val="3B3B3B"/>
                </a:solidFill>
                <a:effectLst/>
                <a:latin typeface="Avenir Next LT Pro Light" panose="020B0304020202020204" pitchFamily="34" charset="0"/>
                <a:ea typeface="Source Sans Pro" panose="020B0503030403020204" pitchFamily="34" charset="0"/>
              </a:rPr>
              <a:t>___________________</a:t>
            </a:r>
            <a:endParaRPr lang="en-US" sz="1100">
              <a:solidFill>
                <a:srgbClr val="3B3B3B"/>
              </a:solidFill>
              <a:effectLst/>
              <a:latin typeface="Avenir Next LT Pro Light" panose="020B0304020202020204" pitchFamily="34" charset="0"/>
              <a:ea typeface="Source Sans Pro" panose="020B0503030403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ln w="12700">
                <a:noFill/>
              </a:ln>
              <a:solidFill>
                <a:srgbClr val="3B3B3B"/>
              </a:solidFill>
              <a:latin typeface="Avenir Next LT Pro Light" panose="020B0304020202020204" pitchFamily="34" charset="0"/>
              <a:ea typeface="+mn-ea"/>
              <a:cs typeface="+mn-cs"/>
            </a:defRPr>
          </a:pPr>
          <a:endParaRPr lang="en-US"/>
        </a:p>
      </c:txPr>
    </c:title>
    <c:autoTitleDeleted val="0"/>
    <c:plotArea>
      <c:layout/>
      <c:barChart>
        <c:barDir val="bar"/>
        <c:grouping val="clustered"/>
        <c:varyColors val="0"/>
        <c:ser>
          <c:idx val="0"/>
          <c:order val="0"/>
          <c:tx>
            <c:strRef>
              <c:f>Sheet1!$C$1</c:f>
              <c:strCache>
                <c:ptCount val="1"/>
                <c:pt idx="0">
                  <c:v>Last 12 months</c:v>
                </c:pt>
              </c:strCache>
            </c:strRef>
          </c:tx>
          <c:spPr>
            <a:solidFill>
              <a:schemeClr val="accent1"/>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ln w="12700">
                      <a:noFill/>
                    </a:ln>
                    <a:solidFill>
                      <a:srgbClr val="13284B"/>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Sheet1!$B$2:$B$23</c:f>
              <c:strCache>
                <c:ptCount val="22"/>
                <c:pt idx="0">
                  <c:v>1-5 Yr Infl Link Treas</c:v>
                </c:pt>
                <c:pt idx="1">
                  <c:v>Global Agg ex-US Hdg USD</c:v>
                </c:pt>
                <c:pt idx="2">
                  <c:v>US Agg</c:v>
                </c:pt>
                <c:pt idx="3">
                  <c:v>5-10 Yr Muni</c:v>
                </c:pt>
                <c:pt idx="4">
                  <c:v>5-10 Yr US Corp</c:v>
                </c:pt>
                <c:pt idx="5">
                  <c:v>5-10 Yr US Treas</c:v>
                </c:pt>
                <c:pt idx="6">
                  <c:v>1-5 Yr Muni</c:v>
                </c:pt>
                <c:pt idx="7">
                  <c:v>1-5 Yr US Corp</c:v>
                </c:pt>
                <c:pt idx="8">
                  <c:v>1-5 Yr US Treas</c:v>
                </c:pt>
                <c:pt idx="9">
                  <c:v>Non-US REIT</c:v>
                </c:pt>
                <c:pt idx="10">
                  <c:v>US REIT</c:v>
                </c:pt>
                <c:pt idx="11">
                  <c:v>Global REIT</c:v>
                </c:pt>
                <c:pt idx="12">
                  <c:v>Emerging Markets</c:v>
                </c:pt>
                <c:pt idx="13">
                  <c:v>Intl Eq Small Cap</c:v>
                </c:pt>
                <c:pt idx="14">
                  <c:v>Intl Eq Large Cap</c:v>
                </c:pt>
                <c:pt idx="15">
                  <c:v>US Small Cap Value</c:v>
                </c:pt>
                <c:pt idx="16">
                  <c:v>US Small Cap Growth</c:v>
                </c:pt>
                <c:pt idx="17">
                  <c:v>US Small Cap</c:v>
                </c:pt>
                <c:pt idx="18">
                  <c:v>US Large Cap Value</c:v>
                </c:pt>
                <c:pt idx="19">
                  <c:v>US Large Cap Growth</c:v>
                </c:pt>
                <c:pt idx="20">
                  <c:v>US Large Cap</c:v>
                </c:pt>
                <c:pt idx="21">
                  <c:v>US All Cap</c:v>
                </c:pt>
              </c:strCache>
            </c:strRef>
          </c:cat>
          <c:val>
            <c:numRef>
              <c:f>Sheet1!$C$2:$C$23</c:f>
              <c:numCache>
                <c:formatCode>#,##0.00</c:formatCode>
                <c:ptCount val="22"/>
                <c:pt idx="0">
                  <c:v>5.6834899999999999</c:v>
                </c:pt>
                <c:pt idx="1">
                  <c:v>3.02196</c:v>
                </c:pt>
                <c:pt idx="2">
                  <c:v>2.8837299999999999</c:v>
                </c:pt>
                <c:pt idx="3">
                  <c:v>3.3231099999999998</c:v>
                </c:pt>
                <c:pt idx="4">
                  <c:v>5.33704</c:v>
                </c:pt>
                <c:pt idx="5">
                  <c:v>2.8303600000000002</c:v>
                </c:pt>
                <c:pt idx="6">
                  <c:v>3.2699799999999999</c:v>
                </c:pt>
                <c:pt idx="7">
                  <c:v>5.1115700000000004</c:v>
                </c:pt>
                <c:pt idx="8">
                  <c:v>3.7659199999999999</c:v>
                </c:pt>
                <c:pt idx="9">
                  <c:v>5.37744</c:v>
                </c:pt>
                <c:pt idx="10">
                  <c:v>-1.70346</c:v>
                </c:pt>
                <c:pt idx="11">
                  <c:v>-0.17241999999999999</c:v>
                </c:pt>
                <c:pt idx="12">
                  <c:v>17.32263</c:v>
                </c:pt>
                <c:pt idx="13">
                  <c:v>19.353249999999999</c:v>
                </c:pt>
                <c:pt idx="14">
                  <c:v>16.033619999999999</c:v>
                </c:pt>
                <c:pt idx="15">
                  <c:v>7.8849900000000002</c:v>
                </c:pt>
                <c:pt idx="16">
                  <c:v>13.557510000000001</c:v>
                </c:pt>
                <c:pt idx="17">
                  <c:v>10.75775</c:v>
                </c:pt>
                <c:pt idx="18">
                  <c:v>9.4417500000000008</c:v>
                </c:pt>
                <c:pt idx="19">
                  <c:v>25.532730000000001</c:v>
                </c:pt>
                <c:pt idx="20">
                  <c:v>17.748349999999999</c:v>
                </c:pt>
                <c:pt idx="21">
                  <c:v>17.409009999999999</c:v>
                </c:pt>
              </c:numCache>
            </c:numRef>
          </c:val>
          <c:extLst>
            <c:ext xmlns:c16="http://schemas.microsoft.com/office/drawing/2014/chart" uri="{C3380CC4-5D6E-409C-BE32-E72D297353CC}">
              <c16:uniqueId val="{00000000-EAE7-4DE9-9C01-6BB5CD652608}"/>
            </c:ext>
          </c:extLst>
        </c:ser>
        <c:ser>
          <c:idx val="1"/>
          <c:order val="1"/>
          <c:tx>
            <c:strRef>
              <c:f>Sheet1!$D$1</c:f>
              <c:strCache>
                <c:ptCount val="1"/>
                <c:pt idx="0">
                  <c:v>Q3 2025</c:v>
                </c:pt>
              </c:strCache>
            </c:strRef>
          </c:tx>
          <c:spPr>
            <a:solidFill>
              <a:schemeClr val="accent2"/>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ln w="12700">
                      <a:noFill/>
                    </a:ln>
                    <a:solidFill>
                      <a:srgbClr val="13284B"/>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Sheet1!$B$2:$B$23</c:f>
              <c:strCache>
                <c:ptCount val="22"/>
                <c:pt idx="0">
                  <c:v>1-5 Yr Infl Link Treas</c:v>
                </c:pt>
                <c:pt idx="1">
                  <c:v>Global Agg ex-US Hdg USD</c:v>
                </c:pt>
                <c:pt idx="2">
                  <c:v>US Agg</c:v>
                </c:pt>
                <c:pt idx="3">
                  <c:v>5-10 Yr Muni</c:v>
                </c:pt>
                <c:pt idx="4">
                  <c:v>5-10 Yr US Corp</c:v>
                </c:pt>
                <c:pt idx="5">
                  <c:v>5-10 Yr US Treas</c:v>
                </c:pt>
                <c:pt idx="6">
                  <c:v>1-5 Yr Muni</c:v>
                </c:pt>
                <c:pt idx="7">
                  <c:v>1-5 Yr US Corp</c:v>
                </c:pt>
                <c:pt idx="8">
                  <c:v>1-5 Yr US Treas</c:v>
                </c:pt>
                <c:pt idx="9">
                  <c:v>Non-US REIT</c:v>
                </c:pt>
                <c:pt idx="10">
                  <c:v>US REIT</c:v>
                </c:pt>
                <c:pt idx="11">
                  <c:v>Global REIT</c:v>
                </c:pt>
                <c:pt idx="12">
                  <c:v>Emerging Markets</c:v>
                </c:pt>
                <c:pt idx="13">
                  <c:v>Intl Eq Small Cap</c:v>
                </c:pt>
                <c:pt idx="14">
                  <c:v>Intl Eq Large Cap</c:v>
                </c:pt>
                <c:pt idx="15">
                  <c:v>US Small Cap Value</c:v>
                </c:pt>
                <c:pt idx="16">
                  <c:v>US Small Cap Growth</c:v>
                </c:pt>
                <c:pt idx="17">
                  <c:v>US Small Cap</c:v>
                </c:pt>
                <c:pt idx="18">
                  <c:v>US Large Cap Value</c:v>
                </c:pt>
                <c:pt idx="19">
                  <c:v>US Large Cap Growth</c:v>
                </c:pt>
                <c:pt idx="20">
                  <c:v>US Large Cap</c:v>
                </c:pt>
                <c:pt idx="21">
                  <c:v>US All Cap</c:v>
                </c:pt>
              </c:strCache>
            </c:strRef>
          </c:cat>
          <c:val>
            <c:numRef>
              <c:f>Sheet1!$D$2:$D$23</c:f>
              <c:numCache>
                <c:formatCode>#,##0.00</c:formatCode>
                <c:ptCount val="22"/>
                <c:pt idx="0">
                  <c:v>1.6439600000000001</c:v>
                </c:pt>
                <c:pt idx="1">
                  <c:v>0.49373</c:v>
                </c:pt>
                <c:pt idx="2">
                  <c:v>2.0301300000000002</c:v>
                </c:pt>
                <c:pt idx="3">
                  <c:v>2.9189400000000001</c:v>
                </c:pt>
                <c:pt idx="4">
                  <c:v>2.71549</c:v>
                </c:pt>
                <c:pt idx="5">
                  <c:v>1.5600499999999999</c:v>
                </c:pt>
                <c:pt idx="6">
                  <c:v>1.57378</c:v>
                </c:pt>
                <c:pt idx="7">
                  <c:v>1.64798</c:v>
                </c:pt>
                <c:pt idx="8">
                  <c:v>1.1391</c:v>
                </c:pt>
                <c:pt idx="9">
                  <c:v>3.7125900000000001</c:v>
                </c:pt>
                <c:pt idx="10">
                  <c:v>5.0894399999999997</c:v>
                </c:pt>
                <c:pt idx="11">
                  <c:v>4.7719399999999998</c:v>
                </c:pt>
                <c:pt idx="12">
                  <c:v>10.642950000000001</c:v>
                </c:pt>
                <c:pt idx="13">
                  <c:v>7.2404599999999997</c:v>
                </c:pt>
                <c:pt idx="14">
                  <c:v>5.3341799999999999</c:v>
                </c:pt>
                <c:pt idx="15">
                  <c:v>12.604089999999999</c:v>
                </c:pt>
                <c:pt idx="16">
                  <c:v>12.193720000000001</c:v>
                </c:pt>
                <c:pt idx="17">
                  <c:v>12.3948</c:v>
                </c:pt>
                <c:pt idx="18">
                  <c:v>5.3297600000000003</c:v>
                </c:pt>
                <c:pt idx="19">
                  <c:v>10.5099</c:v>
                </c:pt>
                <c:pt idx="20">
                  <c:v>7.9920600000000004</c:v>
                </c:pt>
                <c:pt idx="21">
                  <c:v>8.1761800000000004</c:v>
                </c:pt>
              </c:numCache>
            </c:numRef>
          </c:val>
          <c:extLst>
            <c:ext xmlns:c16="http://schemas.microsoft.com/office/drawing/2014/chart" uri="{C3380CC4-5D6E-409C-BE32-E72D297353CC}">
              <c16:uniqueId val="{00000001-EAE7-4DE9-9C01-6BB5CD652608}"/>
            </c:ext>
          </c:extLst>
        </c:ser>
        <c:dLbls>
          <c:dLblPos val="outEnd"/>
          <c:showLegendKey val="0"/>
          <c:showVal val="1"/>
          <c:showCatName val="0"/>
          <c:showSerName val="0"/>
          <c:showPercent val="0"/>
          <c:showBubbleSize val="0"/>
        </c:dLbls>
        <c:gapWidth val="182"/>
        <c:axId val="887475568"/>
        <c:axId val="887475896"/>
      </c:barChart>
      <c:catAx>
        <c:axId val="887475568"/>
        <c:scaling>
          <c:orientation val="minMax"/>
        </c:scaling>
        <c:delete val="0"/>
        <c:axPos val="l"/>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ln w="12700">
                  <a:noFill/>
                </a:ln>
                <a:solidFill>
                  <a:srgbClr val="13284B"/>
                </a:solidFill>
                <a:latin typeface="Avenir Next LT Pro Light" panose="020B0304020202020204" pitchFamily="34" charset="0"/>
                <a:ea typeface="+mn-ea"/>
                <a:cs typeface="+mn-cs"/>
              </a:defRPr>
            </a:pPr>
            <a:endParaRPr lang="en-US"/>
          </a:p>
        </c:txPr>
        <c:crossAx val="887475896"/>
        <c:crosses val="autoZero"/>
        <c:auto val="1"/>
        <c:lblAlgn val="ctr"/>
        <c:lblOffset val="100"/>
        <c:noMultiLvlLbl val="0"/>
      </c:catAx>
      <c:valAx>
        <c:axId val="8874758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ln w="12700">
                      <a:noFill/>
                    </a:ln>
                    <a:solidFill>
                      <a:srgbClr val="13284B"/>
                    </a:solidFill>
                    <a:latin typeface="+mn-lt"/>
                    <a:ea typeface="+mn-ea"/>
                    <a:cs typeface="+mn-cs"/>
                  </a:defRPr>
                </a:pPr>
                <a:r>
                  <a:rPr lang="en-US"/>
                  <a:t>Percent</a:t>
                </a:r>
              </a:p>
            </c:rich>
          </c:tx>
          <c:overlay val="0"/>
          <c:spPr>
            <a:noFill/>
            <a:ln>
              <a:noFill/>
            </a:ln>
            <a:effectLst/>
          </c:spPr>
          <c:txPr>
            <a:bodyPr rot="0" spcFirstLastPara="1" vertOverflow="ellipsis" vert="horz" wrap="square" anchor="ctr" anchorCtr="1"/>
            <a:lstStyle/>
            <a:p>
              <a:pPr>
                <a:defRPr sz="1000" b="0" i="0" u="none" strike="noStrike" kern="1200" baseline="0">
                  <a:ln w="12700">
                    <a:noFill/>
                  </a:ln>
                  <a:solidFill>
                    <a:srgbClr val="13284B"/>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w="12700">
                  <a:noFill/>
                </a:ln>
                <a:solidFill>
                  <a:srgbClr val="13284B"/>
                </a:solidFill>
                <a:latin typeface="+mn-lt"/>
                <a:ea typeface="+mn-ea"/>
                <a:cs typeface="+mn-cs"/>
              </a:defRPr>
            </a:pPr>
            <a:endParaRPr lang="en-US"/>
          </a:p>
        </c:txPr>
        <c:crossAx val="887475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ln w="12700">
                <a:noFill/>
              </a:ln>
              <a:solidFill>
                <a:srgbClr val="13284B"/>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ln w="12700">
            <a:noFill/>
          </a:ln>
          <a:solidFill>
            <a:srgbClr val="13284B"/>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44546A"/>
      </a:dk2>
      <a:lt2>
        <a:srgbClr val="E7E6E6"/>
      </a:lt2>
      <a:accent1>
        <a:srgbClr val="13284B"/>
      </a:accent1>
      <a:accent2>
        <a:srgbClr val="F99F1B"/>
      </a:accent2>
      <a:accent3>
        <a:srgbClr val="A5A5A5"/>
      </a:accent3>
      <a:accent4>
        <a:srgbClr val="FFC000"/>
      </a:accent4>
      <a:accent5>
        <a:srgbClr val="5B9BD5"/>
      </a:accent5>
      <a:accent6>
        <a:srgbClr val="70AD47"/>
      </a:accent6>
      <a:hlink>
        <a:srgbClr val="0563C1"/>
      </a:hlink>
      <a:folHlink>
        <a:srgbClr val="954F72"/>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25405F8E929CA4C84807331A4376E3B" ma:contentTypeVersion="21" ma:contentTypeDescription="Create a new document." ma:contentTypeScope="" ma:versionID="43118af58973d9ed74c472677aa44fd3">
  <xsd:schema xmlns:xsd="http://www.w3.org/2001/XMLSchema" xmlns:xs="http://www.w3.org/2001/XMLSchema" xmlns:p="http://schemas.microsoft.com/office/2006/metadata/properties" xmlns:ns1="http://schemas.microsoft.com/sharepoint/v3" xmlns:ns2="eec8582d-3ef0-4812-8a49-3d96756f989f" xmlns:ns3="3ee2c254-fafb-45ad-a0da-3061856190dd" targetNamespace="http://schemas.microsoft.com/office/2006/metadata/properties" ma:root="true" ma:fieldsID="80c504d3988b4117e1cd2e22295da5a7" ns1:_="" ns2:_="" ns3:_="">
    <xsd:import namespace="http://schemas.microsoft.com/sharepoint/v3"/>
    <xsd:import namespace="eec8582d-3ef0-4812-8a49-3d96756f989f"/>
    <xsd:import namespace="3ee2c254-fafb-45ad-a0da-3061856190d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element ref="ns3:MediaServiceBillingMetadata"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7" nillable="true" ma:displayName="Unified Compliance Policy Properties" ma:hidden="true" ma:internalName="_ip_UnifiedCompliancePolicyProperties">
      <xsd:simpleType>
        <xsd:restriction base="dms:Note"/>
      </xsd:simpleType>
    </xsd:element>
    <xsd:element name="_ip_UnifiedCompliancePolicyUIAction" ma:index="2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ec8582d-3ef0-4812-8a49-3d96756f989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1465d7f3-4a5d-42bb-8184-3a76c6396441}" ma:internalName="TaxCatchAll" ma:showField="CatchAllData" ma:web="eec8582d-3ef0-4812-8a49-3d96756f989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ee2c254-fafb-45ad-a0da-3061856190d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6831aa9-cd17-4f18-a90c-3a62d3b203d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ec8582d-3ef0-4812-8a49-3d96756f989f" xsi:nil="true"/>
    <lcf76f155ced4ddcb4097134ff3c332f xmlns="3ee2c254-fafb-45ad-a0da-3061856190dd">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B8A96235-4447-4445-BBEA-C09E3DA564F3}">
  <ds:schemaRefs>
    <ds:schemaRef ds:uri="http://schemas.openxmlformats.org/officeDocument/2006/bibliography"/>
  </ds:schemaRefs>
</ds:datastoreItem>
</file>

<file path=customXml/itemProps2.xml><?xml version="1.0" encoding="utf-8"?>
<ds:datastoreItem xmlns:ds="http://schemas.openxmlformats.org/officeDocument/2006/customXml" ds:itemID="{11049EAE-D6F6-4210-95D7-A09CF6DFC92A}">
  <ds:schemaRefs>
    <ds:schemaRef ds:uri="http://schemas.microsoft.com/sharepoint/v3/contenttype/forms"/>
  </ds:schemaRefs>
</ds:datastoreItem>
</file>

<file path=customXml/itemProps3.xml><?xml version="1.0" encoding="utf-8"?>
<ds:datastoreItem xmlns:ds="http://schemas.openxmlformats.org/officeDocument/2006/customXml" ds:itemID="{66128F68-C838-490E-880D-45A2FD1E59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ec8582d-3ef0-4812-8a49-3d96756f989f"/>
    <ds:schemaRef ds:uri="3ee2c254-fafb-45ad-a0da-3061856190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558EA2D-F248-479D-B0A4-791DF359009A}">
  <ds:schemaRefs>
    <ds:schemaRef ds:uri="http://schemas.microsoft.com/office/2006/metadata/properties"/>
    <ds:schemaRef ds:uri="http://schemas.microsoft.com/office/infopath/2007/PartnerControls"/>
    <ds:schemaRef ds:uri="e58f827f-5e6c-4f5d-a882-d80a78476402"/>
    <ds:schemaRef ds:uri="d158acfa-a83d-4525-ade5-45ec3b53c5ad"/>
    <ds:schemaRef ds:uri="eec8582d-3ef0-4812-8a49-3d96756f989f"/>
    <ds:schemaRef ds:uri="3ee2c254-fafb-45ad-a0da-3061856190d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2870</Words>
  <Characters>15851</Characters>
  <Application>Microsoft Office Word</Application>
  <DocSecurity>0</DocSecurity>
  <Lines>440</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18640</CharactersWithSpaces>
  <SharedDoc>false</SharedDoc>
  <HLinks>
    <vt:vector size="6" baseType="variant">
      <vt:variant>
        <vt:i4>3866672</vt:i4>
      </vt:variant>
      <vt:variant>
        <vt:i4>0</vt:i4>
      </vt:variant>
      <vt:variant>
        <vt:i4>0</vt:i4>
      </vt:variant>
      <vt:variant>
        <vt:i4>5</vt:i4>
      </vt:variant>
      <vt:variant>
        <vt:lpwstr>https://www.eastbayis.com/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stein</dc:creator>
  <cp:keywords/>
  <dc:description/>
  <cp:lastModifiedBy>Jordan Durham</cp:lastModifiedBy>
  <cp:revision>3</cp:revision>
  <cp:lastPrinted>2020-01-07T00:31:00Z</cp:lastPrinted>
  <dcterms:created xsi:type="dcterms:W3CDTF">2025-10-15T14:46:00Z</dcterms:created>
  <dcterms:modified xsi:type="dcterms:W3CDTF">2025-10-16T16:11:00Z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0x010100A25405F8E929CA4C84807331A4376E3B</vt:lpwstr>
  </property>
  <property fmtid="{D5CDD505-2E9C-101B-9397-08002B2CF9AE}" pid="3" name="MSIP_Label_f798ad3d-ca62-431b-a271-272384029ef0_Enabled">
    <vt:lpwstr>True</vt:lpwstr>
  </property>
  <property fmtid="{D5CDD505-2E9C-101B-9397-08002B2CF9AE}" pid="4" name="MSIP_Label_f798ad3d-ca62-431b-a271-272384029ef0_SiteId">
    <vt:lpwstr>43861674-48bf-491e-b8a9-1f4f667f8dbf</vt:lpwstr>
  </property>
  <property fmtid="{D5CDD505-2E9C-101B-9397-08002B2CF9AE}" pid="5" name="MSIP_Label_f798ad3d-ca62-431b-a271-272384029ef0_Owner">
    <vt:lpwstr>lhaydon@thompsoncff.org</vt:lpwstr>
  </property>
  <property fmtid="{D5CDD505-2E9C-101B-9397-08002B2CF9AE}" pid="6" name="MSIP_Label_f798ad3d-ca62-431b-a271-272384029ef0_SetDate">
    <vt:lpwstr>2019-09-06T17:14:03.5638843Z</vt:lpwstr>
  </property>
  <property fmtid="{D5CDD505-2E9C-101B-9397-08002B2CF9AE}" pid="7" name="MSIP_Label_f798ad3d-ca62-431b-a271-272384029ef0_Name">
    <vt:lpwstr>General</vt:lpwstr>
  </property>
  <property fmtid="{D5CDD505-2E9C-101B-9397-08002B2CF9AE}" pid="8" name="MSIP_Label_f798ad3d-ca62-431b-a271-272384029ef0_Application">
    <vt:lpwstr>Microsoft Azure Information Protection</vt:lpwstr>
  </property>
  <property fmtid="{D5CDD505-2E9C-101B-9397-08002B2CF9AE}" pid="9" name="MSIP_Label_f798ad3d-ca62-431b-a271-272384029ef0_Extended_MSFT_Method">
    <vt:lpwstr>Automatic</vt:lpwstr>
  </property>
  <property fmtid="{D5CDD505-2E9C-101B-9397-08002B2CF9AE}" pid="10" name="Sensitivity">
    <vt:lpwstr>General</vt:lpwstr>
  </property>
  <property fmtid="{D5CDD505-2E9C-101B-9397-08002B2CF9AE}" pid="11" name="MediaServiceImageTags">
    <vt:lpwstr/>
  </property>
  <property fmtid="{D5CDD505-2E9C-101B-9397-08002B2CF9AE}" pid="12" name="GrammarlyDocumentId">
    <vt:lpwstr>67aad9beeca13d9cbfaf65a0a08fde831f8c99cea2bb38c0bfe433d7f5a47c06</vt:lpwstr>
  </property>
</Properties>
</file>